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5815" w14:textId="0D4F8A94" w:rsidR="00A9341A" w:rsidRPr="007C34AC" w:rsidRDefault="0056411C" w:rsidP="00EF7320">
      <w:pPr>
        <w:jc w:val="right"/>
        <w:rPr>
          <w:lang w:val="en-US"/>
        </w:rPr>
      </w:pPr>
      <w:r w:rsidRPr="007C34AC">
        <w:rPr>
          <w:lang w:val="en-US"/>
        </w:rPr>
        <w:t>Białystok</w:t>
      </w:r>
      <w:r w:rsidR="00C92071" w:rsidRPr="007C34AC">
        <w:rPr>
          <w:lang w:val="en-US"/>
        </w:rPr>
        <w:t xml:space="preserve">, </w:t>
      </w:r>
      <w:r w:rsidR="007C34AC" w:rsidRPr="007C34AC">
        <w:rPr>
          <w:lang w:val="en-US"/>
        </w:rPr>
        <w:t>05.07.</w:t>
      </w:r>
      <w:r w:rsidR="00C92071" w:rsidRPr="007C34AC">
        <w:rPr>
          <w:lang w:val="en-US"/>
        </w:rPr>
        <w:t>201</w:t>
      </w:r>
      <w:r w:rsidR="00EF7320" w:rsidRPr="007C34AC">
        <w:rPr>
          <w:lang w:val="en-US"/>
        </w:rPr>
        <w:t>9</w:t>
      </w:r>
      <w:r w:rsidR="00C92071" w:rsidRPr="007C34AC">
        <w:rPr>
          <w:lang w:val="en-US"/>
        </w:rPr>
        <w:t xml:space="preserve">r. </w:t>
      </w:r>
    </w:p>
    <w:p w14:paraId="1C67F1AB" w14:textId="541614E4" w:rsidR="0022203E" w:rsidRDefault="007C34AC" w:rsidP="0022203E">
      <w:pPr>
        <w:rPr>
          <w:lang w:val="en-US"/>
        </w:rPr>
      </w:pPr>
      <w:r w:rsidRPr="007C34AC">
        <w:rPr>
          <w:lang w:val="en-US"/>
        </w:rPr>
        <w:t>Tomas Consulting S</w:t>
      </w:r>
      <w:r>
        <w:rPr>
          <w:lang w:val="en-US"/>
        </w:rPr>
        <w:t>.A.</w:t>
      </w:r>
    </w:p>
    <w:p w14:paraId="6E2C4A8A" w14:textId="300791D6" w:rsidR="007C34AC" w:rsidRDefault="007C34AC" w:rsidP="0022203E">
      <w:pPr>
        <w:rPr>
          <w:lang w:val="en-US"/>
        </w:rPr>
      </w:pPr>
      <w:r>
        <w:rPr>
          <w:lang w:val="en-US"/>
        </w:rPr>
        <w:t>ul. Lniana 41</w:t>
      </w:r>
    </w:p>
    <w:p w14:paraId="784FF600" w14:textId="5DE0AE13" w:rsidR="007C34AC" w:rsidRPr="007C34AC" w:rsidRDefault="007C34AC" w:rsidP="0022203E">
      <w:pPr>
        <w:rPr>
          <w:lang w:val="en-US"/>
        </w:rPr>
      </w:pPr>
      <w:r>
        <w:rPr>
          <w:lang w:val="en-US"/>
        </w:rPr>
        <w:t>15-665 Białystok</w:t>
      </w:r>
    </w:p>
    <w:p w14:paraId="04A20918" w14:textId="77777777" w:rsidR="00C92071" w:rsidRPr="007C34AC" w:rsidRDefault="00C92071">
      <w:pPr>
        <w:rPr>
          <w:lang w:val="en-US"/>
        </w:rPr>
      </w:pPr>
    </w:p>
    <w:p w14:paraId="57439B62" w14:textId="0BAB9769" w:rsidR="00C92071" w:rsidRDefault="00C92071" w:rsidP="00C92071">
      <w:pPr>
        <w:jc w:val="center"/>
        <w:rPr>
          <w:b/>
        </w:rPr>
      </w:pPr>
      <w:r w:rsidRPr="00C92071">
        <w:rPr>
          <w:b/>
        </w:rPr>
        <w:t>ZAPYTANIE OFERTOWE</w:t>
      </w:r>
      <w:r w:rsidR="007C34AC">
        <w:rPr>
          <w:b/>
        </w:rPr>
        <w:t xml:space="preserve"> nr 1/07/2019</w:t>
      </w:r>
    </w:p>
    <w:p w14:paraId="57ACEB3F" w14:textId="77777777" w:rsidR="00C92071" w:rsidRDefault="00C92071" w:rsidP="00C92071">
      <w:pPr>
        <w:jc w:val="center"/>
        <w:rPr>
          <w:b/>
        </w:rPr>
      </w:pPr>
    </w:p>
    <w:p w14:paraId="1FC9B844" w14:textId="77777777" w:rsidR="00C92071" w:rsidRDefault="00C92071" w:rsidP="00C92071">
      <w:pPr>
        <w:pStyle w:val="Akapitzlist"/>
        <w:numPr>
          <w:ilvl w:val="0"/>
          <w:numId w:val="1"/>
        </w:numPr>
        <w:jc w:val="both"/>
        <w:rPr>
          <w:b/>
        </w:rPr>
      </w:pPr>
      <w:r>
        <w:rPr>
          <w:b/>
        </w:rPr>
        <w:t>ZAMAWIAJĄCY</w:t>
      </w:r>
    </w:p>
    <w:p w14:paraId="34C32B9C" w14:textId="77777777" w:rsidR="007C34AC" w:rsidRPr="007C34AC" w:rsidRDefault="007C34AC" w:rsidP="007C34AC">
      <w:pPr>
        <w:rPr>
          <w:lang w:val="en-US"/>
        </w:rPr>
      </w:pPr>
      <w:r w:rsidRPr="007C34AC">
        <w:rPr>
          <w:lang w:val="en-US"/>
        </w:rPr>
        <w:t>Tomas Consulting S.A.</w:t>
      </w:r>
    </w:p>
    <w:p w14:paraId="3E6CC2A8" w14:textId="77777777" w:rsidR="007C34AC" w:rsidRPr="007C34AC" w:rsidRDefault="007C34AC" w:rsidP="007C34AC">
      <w:pPr>
        <w:rPr>
          <w:lang w:val="en-US"/>
        </w:rPr>
      </w:pPr>
      <w:r w:rsidRPr="007C34AC">
        <w:rPr>
          <w:lang w:val="en-US"/>
        </w:rPr>
        <w:t>ul. Lniana 41</w:t>
      </w:r>
    </w:p>
    <w:p w14:paraId="6D748FB4" w14:textId="0DA8EC66" w:rsidR="007C34AC" w:rsidRDefault="007C34AC" w:rsidP="007C34AC">
      <w:pPr>
        <w:rPr>
          <w:lang w:val="en-US"/>
        </w:rPr>
      </w:pPr>
      <w:r w:rsidRPr="007C34AC">
        <w:rPr>
          <w:lang w:val="en-US"/>
        </w:rPr>
        <w:t>15-665 Białystok</w:t>
      </w:r>
    </w:p>
    <w:p w14:paraId="2481C6C5" w14:textId="07CA7E8B" w:rsidR="007C34AC" w:rsidRPr="007C34AC" w:rsidRDefault="007C34AC" w:rsidP="007C34AC">
      <w:pPr>
        <w:rPr>
          <w:lang w:val="en-US"/>
        </w:rPr>
      </w:pPr>
      <w:r>
        <w:rPr>
          <w:lang w:val="en-US"/>
        </w:rPr>
        <w:t>NIP 5422961121</w:t>
      </w:r>
    </w:p>
    <w:p w14:paraId="4164EB23" w14:textId="51BA0F16" w:rsidR="00C92071" w:rsidRPr="003B746D" w:rsidRDefault="00C92071" w:rsidP="00C92071">
      <w:pPr>
        <w:jc w:val="both"/>
      </w:pPr>
    </w:p>
    <w:p w14:paraId="579D790D" w14:textId="77777777" w:rsidR="00C92071" w:rsidRDefault="00C92071" w:rsidP="00C92071">
      <w:pPr>
        <w:pStyle w:val="Akapitzlist"/>
        <w:numPr>
          <w:ilvl w:val="0"/>
          <w:numId w:val="1"/>
        </w:numPr>
        <w:jc w:val="both"/>
        <w:rPr>
          <w:b/>
        </w:rPr>
      </w:pPr>
      <w:r>
        <w:rPr>
          <w:b/>
        </w:rPr>
        <w:t>OPIS PRZEDMIOTU ZAMÓWIENIA</w:t>
      </w:r>
    </w:p>
    <w:p w14:paraId="4F39D1AC" w14:textId="3E0CA370" w:rsidR="0028497D" w:rsidRDefault="00C92071" w:rsidP="00C92071">
      <w:pPr>
        <w:jc w:val="both"/>
        <w:rPr>
          <w:rFonts w:cstheme="minorHAnsi"/>
          <w:lang w:eastAsia="pl-PL"/>
        </w:rPr>
      </w:pPr>
      <w:r w:rsidRPr="00A86C26">
        <w:t xml:space="preserve">Kod i nazwa CPV: </w:t>
      </w:r>
      <w:r w:rsidR="006715A3" w:rsidRPr="006715A3">
        <w:rPr>
          <w:rFonts w:cstheme="minorHAnsi"/>
          <w:lang w:eastAsia="pl-PL"/>
        </w:rPr>
        <w:t>48000000-8 Pakiety oprogramowania i systemy informatyczne.</w:t>
      </w:r>
    </w:p>
    <w:p w14:paraId="3BB7E5B2" w14:textId="18F3C2F8" w:rsidR="004E7F58" w:rsidRDefault="004E7F58" w:rsidP="00C92071">
      <w:pPr>
        <w:jc w:val="both"/>
        <w:rPr>
          <w:rFonts w:cstheme="minorHAnsi"/>
          <w:lang w:eastAsia="pl-PL"/>
        </w:rPr>
      </w:pPr>
    </w:p>
    <w:p w14:paraId="4FBC6E46" w14:textId="2B7D432C" w:rsidR="006715A3" w:rsidRDefault="004E7F58" w:rsidP="007C34AC">
      <w:pPr>
        <w:jc w:val="both"/>
        <w:rPr>
          <w:rFonts w:cstheme="minorHAnsi"/>
          <w:lang w:eastAsia="pl-PL"/>
        </w:rPr>
      </w:pPr>
      <w:r w:rsidRPr="004E7F58">
        <w:rPr>
          <w:rFonts w:cstheme="minorHAnsi"/>
          <w:lang w:eastAsia="pl-PL"/>
        </w:rPr>
        <w:t xml:space="preserve">Przedmiotem zamówienia jest </w:t>
      </w:r>
      <w:r w:rsidR="006715A3" w:rsidRPr="006715A3">
        <w:rPr>
          <w:rFonts w:cstheme="minorHAnsi"/>
          <w:lang w:eastAsia="pl-PL"/>
        </w:rPr>
        <w:t xml:space="preserve">nabycie </w:t>
      </w:r>
      <w:r w:rsidR="007B62CB" w:rsidRPr="006715A3">
        <w:rPr>
          <w:rFonts w:cstheme="minorHAnsi"/>
          <w:lang w:eastAsia="pl-PL"/>
        </w:rPr>
        <w:t>niezbędn</w:t>
      </w:r>
      <w:r w:rsidR="007B62CB">
        <w:rPr>
          <w:rFonts w:cstheme="minorHAnsi"/>
          <w:lang w:eastAsia="pl-PL"/>
        </w:rPr>
        <w:t>ych</w:t>
      </w:r>
      <w:r w:rsidR="007B62CB" w:rsidRPr="006715A3">
        <w:rPr>
          <w:rFonts w:cstheme="minorHAnsi"/>
          <w:lang w:eastAsia="pl-PL"/>
        </w:rPr>
        <w:t xml:space="preserve"> </w:t>
      </w:r>
      <w:r w:rsidR="006715A3" w:rsidRPr="006715A3">
        <w:rPr>
          <w:rFonts w:cstheme="minorHAnsi"/>
          <w:lang w:eastAsia="pl-PL"/>
        </w:rPr>
        <w:t>licencji, wykorzystan</w:t>
      </w:r>
      <w:r w:rsidR="006715A3">
        <w:rPr>
          <w:rFonts w:cstheme="minorHAnsi"/>
          <w:lang w:eastAsia="pl-PL"/>
        </w:rPr>
        <w:t xml:space="preserve">ych </w:t>
      </w:r>
      <w:r w:rsidR="006715A3" w:rsidRPr="006715A3">
        <w:rPr>
          <w:rFonts w:cstheme="minorHAnsi"/>
          <w:lang w:eastAsia="pl-PL"/>
        </w:rPr>
        <w:t>w projekcie</w:t>
      </w:r>
      <w:r w:rsidR="006715A3">
        <w:rPr>
          <w:rFonts w:cstheme="minorHAnsi"/>
          <w:lang w:eastAsia="pl-PL"/>
        </w:rPr>
        <w:t xml:space="preserve"> na potrzeby </w:t>
      </w:r>
      <w:r w:rsidR="006715A3" w:rsidRPr="006715A3">
        <w:rPr>
          <w:rFonts w:cstheme="minorHAnsi"/>
          <w:lang w:eastAsia="pl-PL"/>
        </w:rPr>
        <w:t>realizacj</w:t>
      </w:r>
      <w:r w:rsidR="006715A3">
        <w:rPr>
          <w:rFonts w:cstheme="minorHAnsi"/>
          <w:lang w:eastAsia="pl-PL"/>
        </w:rPr>
        <w:t>i</w:t>
      </w:r>
      <w:r w:rsidR="006715A3" w:rsidRPr="006715A3">
        <w:rPr>
          <w:rFonts w:cstheme="minorHAnsi"/>
          <w:lang w:eastAsia="pl-PL"/>
        </w:rPr>
        <w:t xml:space="preserve"> projektów rozwojowych obejmujących prowadzenie przez przedsiębiorcę własnych prac badawczo-rozwojowych</w:t>
      </w:r>
      <w:r w:rsidR="006715A3">
        <w:rPr>
          <w:rFonts w:cstheme="minorHAnsi"/>
          <w:lang w:eastAsia="pl-PL"/>
        </w:rPr>
        <w:t>.</w:t>
      </w:r>
    </w:p>
    <w:tbl>
      <w:tblPr>
        <w:tblStyle w:val="Tabela-Siatka"/>
        <w:tblW w:w="8812" w:type="dxa"/>
        <w:tblLook w:val="04A0" w:firstRow="1" w:lastRow="0" w:firstColumn="1" w:lastColumn="0" w:noHBand="0" w:noVBand="1"/>
      </w:tblPr>
      <w:tblGrid>
        <w:gridCol w:w="743"/>
        <w:gridCol w:w="6623"/>
        <w:gridCol w:w="1446"/>
      </w:tblGrid>
      <w:tr w:rsidR="00C16137" w:rsidRPr="00C16137" w14:paraId="1859FAF7" w14:textId="77777777" w:rsidTr="007B62CB">
        <w:trPr>
          <w:trHeight w:val="283"/>
        </w:trPr>
        <w:tc>
          <w:tcPr>
            <w:tcW w:w="743" w:type="dxa"/>
            <w:noWrap/>
            <w:hideMark/>
          </w:tcPr>
          <w:p w14:paraId="30C7815C" w14:textId="2FAB86CC" w:rsidR="00C16137" w:rsidRPr="00C16137" w:rsidRDefault="00C16137" w:rsidP="00C16137">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LP</w:t>
            </w:r>
          </w:p>
        </w:tc>
        <w:tc>
          <w:tcPr>
            <w:tcW w:w="6623" w:type="dxa"/>
            <w:noWrap/>
            <w:hideMark/>
          </w:tcPr>
          <w:p w14:paraId="70BA674F" w14:textId="13C0E8FE" w:rsidR="00C16137" w:rsidRPr="00C16137" w:rsidRDefault="00C16137"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Typ licencji -</w:t>
            </w:r>
            <w:r w:rsidRPr="00C16137">
              <w:rPr>
                <w:rFonts w:ascii="Calibri" w:eastAsia="Times New Roman" w:hAnsi="Calibri" w:cs="Times New Roman"/>
                <w:b/>
                <w:bCs/>
                <w:lang w:eastAsia="pl-PL"/>
              </w:rPr>
              <w:t>Opis</w:t>
            </w:r>
          </w:p>
        </w:tc>
        <w:tc>
          <w:tcPr>
            <w:tcW w:w="1446" w:type="dxa"/>
            <w:noWrap/>
            <w:hideMark/>
          </w:tcPr>
          <w:p w14:paraId="3A1A2714" w14:textId="77777777" w:rsidR="00C16137" w:rsidRPr="00C16137" w:rsidRDefault="00C16137" w:rsidP="00C16137">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Ilość</w:t>
            </w:r>
          </w:p>
        </w:tc>
      </w:tr>
      <w:tr w:rsidR="007B62CB" w:rsidRPr="00C16137" w14:paraId="582BD0B4" w14:textId="77777777" w:rsidTr="007B62CB">
        <w:trPr>
          <w:trHeight w:val="283"/>
        </w:trPr>
        <w:tc>
          <w:tcPr>
            <w:tcW w:w="743" w:type="dxa"/>
            <w:noWrap/>
          </w:tcPr>
          <w:p w14:paraId="36B8F5ED" w14:textId="4587B386" w:rsidR="007B62CB"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c>
          <w:tcPr>
            <w:tcW w:w="6623" w:type="dxa"/>
          </w:tcPr>
          <w:p w14:paraId="70BF454F" w14:textId="295445C3" w:rsidR="007B62CB" w:rsidRPr="007B62CB" w:rsidRDefault="007B62CB" w:rsidP="00C16137">
            <w:pPr>
              <w:rPr>
                <w:rFonts w:ascii="Calibri" w:eastAsia="Times New Roman" w:hAnsi="Calibri" w:cs="Times New Roman"/>
                <w:b/>
                <w:bCs/>
                <w:lang w:eastAsia="pl-PL"/>
              </w:rPr>
            </w:pPr>
            <w:r w:rsidRPr="007B62CB">
              <w:rPr>
                <w:rFonts w:ascii="Calibri" w:eastAsia="Times New Roman" w:hAnsi="Calibri" w:cs="Times New Roman"/>
                <w:b/>
                <w:bCs/>
                <w:lang w:eastAsia="pl-PL"/>
              </w:rPr>
              <w:t>Licencja na systemy operacyjne wraz z licencjami dostępowymi dla użytkowników</w:t>
            </w:r>
          </w:p>
        </w:tc>
        <w:tc>
          <w:tcPr>
            <w:tcW w:w="1446" w:type="dxa"/>
            <w:noWrap/>
          </w:tcPr>
          <w:p w14:paraId="74D2DB16" w14:textId="64386A98" w:rsidR="007B62CB" w:rsidRPr="00C16137" w:rsidRDefault="007B62CB" w:rsidP="004B4E5E">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r>
      <w:tr w:rsidR="00C16137" w:rsidRPr="007B62CB" w14:paraId="7EA2EBD6" w14:textId="77777777" w:rsidTr="007B62CB">
        <w:trPr>
          <w:trHeight w:val="283"/>
        </w:trPr>
        <w:tc>
          <w:tcPr>
            <w:tcW w:w="743" w:type="dxa"/>
            <w:noWrap/>
            <w:hideMark/>
          </w:tcPr>
          <w:p w14:paraId="60689EBC" w14:textId="03F4D6CF"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2</w:t>
            </w:r>
          </w:p>
        </w:tc>
        <w:tc>
          <w:tcPr>
            <w:tcW w:w="6623" w:type="dxa"/>
            <w:hideMark/>
          </w:tcPr>
          <w:p w14:paraId="289E89F6" w14:textId="7392B8F0" w:rsidR="00C16137" w:rsidRPr="007B62CB" w:rsidRDefault="007B62CB" w:rsidP="007B62CB">
            <w:pPr>
              <w:rPr>
                <w:rFonts w:ascii="Times New Roman" w:eastAsia="Times New Roman" w:hAnsi="Times New Roman" w:cs="Times New Roman"/>
                <w:sz w:val="20"/>
                <w:szCs w:val="20"/>
                <w:lang w:eastAsia="pl-PL"/>
              </w:rPr>
            </w:pPr>
            <w:r w:rsidRPr="007B62CB">
              <w:rPr>
                <w:rFonts w:ascii="Calibri" w:eastAsia="Times New Roman" w:hAnsi="Calibri" w:cs="Times New Roman"/>
                <w:b/>
                <w:bCs/>
                <w:lang w:eastAsia="pl-PL"/>
              </w:rPr>
              <w:t>Licencja na oprogramowanie do pracy grupowej zespołu (poczta, kalendarz, zadania</w:t>
            </w:r>
            <w:r>
              <w:rPr>
                <w:rFonts w:ascii="Calibri" w:eastAsia="Times New Roman" w:hAnsi="Calibri" w:cs="Times New Roman"/>
                <w:b/>
                <w:bCs/>
                <w:lang w:eastAsia="pl-PL"/>
              </w:rPr>
              <w:t xml:space="preserve">, kontakty, foldery </w:t>
            </w:r>
            <w:r w:rsidRPr="007B62CB">
              <w:rPr>
                <w:rFonts w:ascii="Calibri" w:eastAsia="Times New Roman" w:hAnsi="Calibri" w:cs="Times New Roman"/>
                <w:b/>
                <w:bCs/>
                <w:lang w:eastAsia="pl-PL"/>
              </w:rPr>
              <w:t>)</w:t>
            </w:r>
            <w:r>
              <w:rPr>
                <w:rFonts w:ascii="Calibri" w:eastAsia="Times New Roman" w:hAnsi="Calibri" w:cs="Times New Roman"/>
                <w:b/>
                <w:bCs/>
                <w:lang w:eastAsia="pl-PL"/>
              </w:rPr>
              <w:t xml:space="preserve"> </w:t>
            </w:r>
            <w:r w:rsidRPr="007B62CB">
              <w:rPr>
                <w:rFonts w:ascii="Calibri" w:eastAsia="Times New Roman" w:hAnsi="Calibri" w:cs="Times New Roman"/>
                <w:b/>
                <w:bCs/>
                <w:lang w:eastAsia="pl-PL"/>
              </w:rPr>
              <w:t>wraz z licencjami dostępowymi dla użytkowników</w:t>
            </w:r>
          </w:p>
        </w:tc>
        <w:tc>
          <w:tcPr>
            <w:tcW w:w="1446" w:type="dxa"/>
            <w:noWrap/>
            <w:hideMark/>
          </w:tcPr>
          <w:p w14:paraId="651F58EA" w14:textId="283C2DCF" w:rsidR="00C16137" w:rsidRPr="007B62CB" w:rsidRDefault="007B62CB" w:rsidP="004B4E5E">
            <w:pPr>
              <w:jc w:val="center"/>
              <w:rPr>
                <w:rFonts w:ascii="Times New Roman" w:eastAsia="Times New Roman" w:hAnsi="Times New Roman" w:cs="Times New Roman"/>
                <w:sz w:val="20"/>
                <w:szCs w:val="20"/>
                <w:lang w:eastAsia="pl-PL"/>
              </w:rPr>
            </w:pPr>
            <w:r>
              <w:rPr>
                <w:rFonts w:ascii="Calibri" w:eastAsia="Times New Roman" w:hAnsi="Calibri" w:cs="Times New Roman"/>
                <w:b/>
                <w:bCs/>
                <w:lang w:eastAsia="pl-PL"/>
              </w:rPr>
              <w:t xml:space="preserve">1 </w:t>
            </w:r>
          </w:p>
        </w:tc>
      </w:tr>
      <w:tr w:rsidR="00C16137" w:rsidRPr="00C16137" w14:paraId="143A8E7D" w14:textId="77777777" w:rsidTr="007B62CB">
        <w:trPr>
          <w:trHeight w:val="283"/>
        </w:trPr>
        <w:tc>
          <w:tcPr>
            <w:tcW w:w="743" w:type="dxa"/>
            <w:noWrap/>
            <w:hideMark/>
          </w:tcPr>
          <w:p w14:paraId="06106BF6" w14:textId="4849747E"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3</w:t>
            </w:r>
          </w:p>
        </w:tc>
        <w:tc>
          <w:tcPr>
            <w:tcW w:w="6623" w:type="dxa"/>
            <w:hideMark/>
          </w:tcPr>
          <w:p w14:paraId="3F0A7085" w14:textId="2E494BB1" w:rsidR="00C16137" w:rsidRPr="007B62CB" w:rsidRDefault="004B4E5E" w:rsidP="00C16137">
            <w:pPr>
              <w:rPr>
                <w:rFonts w:ascii="Calibri" w:eastAsia="Times New Roman" w:hAnsi="Calibri" w:cs="Times New Roman"/>
                <w:b/>
                <w:bCs/>
                <w:lang w:eastAsia="pl-PL"/>
              </w:rPr>
            </w:pPr>
            <w:r w:rsidRPr="004B4E5E">
              <w:rPr>
                <w:rFonts w:ascii="Calibri" w:eastAsia="Times New Roman" w:hAnsi="Calibri" w:cs="Times New Roman"/>
                <w:b/>
                <w:bCs/>
                <w:lang w:eastAsia="pl-PL"/>
              </w:rPr>
              <w:t>Licencja na oprogramowanie do synchronizacji serwerów pracy grupowej zespołu</w:t>
            </w:r>
          </w:p>
        </w:tc>
        <w:tc>
          <w:tcPr>
            <w:tcW w:w="1446" w:type="dxa"/>
            <w:noWrap/>
            <w:hideMark/>
          </w:tcPr>
          <w:p w14:paraId="0E8B61FB" w14:textId="3F8B5D09" w:rsidR="00C16137" w:rsidRPr="00C16137" w:rsidRDefault="004B4E5E" w:rsidP="004B4E5E">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r>
    </w:tbl>
    <w:p w14:paraId="0B6620CF" w14:textId="765FEB35" w:rsidR="006715A3" w:rsidRDefault="006715A3" w:rsidP="00FA6323">
      <w:pPr>
        <w:jc w:val="both"/>
        <w:rPr>
          <w:rFonts w:cstheme="minorHAnsi"/>
          <w:lang w:eastAsia="pl-PL"/>
        </w:rPr>
      </w:pPr>
    </w:p>
    <w:p w14:paraId="0B37D5D2" w14:textId="77777777" w:rsidR="00211344" w:rsidRDefault="00211344" w:rsidP="00211344">
      <w:pPr>
        <w:pStyle w:val="Default"/>
        <w:jc w:val="both"/>
        <w:rPr>
          <w:rFonts w:asciiTheme="minorHAnsi" w:hAnsiTheme="minorHAnsi" w:cstheme="minorHAnsi"/>
          <w:b/>
          <w:sz w:val="22"/>
          <w:szCs w:val="22"/>
        </w:rPr>
      </w:pPr>
      <w:r>
        <w:rPr>
          <w:rFonts w:asciiTheme="minorHAnsi" w:hAnsiTheme="minorHAnsi" w:cstheme="minorHAnsi"/>
          <w:b/>
          <w:sz w:val="22"/>
          <w:szCs w:val="22"/>
        </w:rPr>
        <w:t>Minimalne parametry techniczne oferowanych licencji</w:t>
      </w:r>
    </w:p>
    <w:p w14:paraId="7812948E" w14:textId="77777777" w:rsidR="00211344" w:rsidRDefault="00211344" w:rsidP="00211344">
      <w:pPr>
        <w:pStyle w:val="Default"/>
        <w:ind w:left="360"/>
        <w:jc w:val="both"/>
        <w:rPr>
          <w:rFonts w:asciiTheme="minorHAnsi" w:hAnsiTheme="minorHAnsi" w:cstheme="minorHAnsi"/>
          <w:b/>
          <w:sz w:val="22"/>
          <w:szCs w:val="22"/>
        </w:rPr>
      </w:pPr>
    </w:p>
    <w:p w14:paraId="7BD9FF6C"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t>Licencja na systemy operacyjne wraz z licencjami dostępowymi dla użytkowników</w:t>
      </w:r>
    </w:p>
    <w:p w14:paraId="7528CB8A" w14:textId="77777777" w:rsidR="00211344" w:rsidRDefault="00211344" w:rsidP="00211344">
      <w:pPr>
        <w:pStyle w:val="Default"/>
        <w:ind w:left="360"/>
        <w:jc w:val="both"/>
        <w:rPr>
          <w:rFonts w:asciiTheme="minorHAnsi" w:hAnsiTheme="minorHAnsi" w:cstheme="minorHAnsi"/>
          <w:b/>
          <w:sz w:val="22"/>
          <w:szCs w:val="22"/>
        </w:rPr>
      </w:pPr>
    </w:p>
    <w:p w14:paraId="39157055"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068348D2" w14:textId="77777777" w:rsidR="00211344" w:rsidRPr="00F7356A"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Licencja na systemy operacyjne pozwalający na uruchomienie aplikacji do pracy grupowej zespołu, bazy danych wyników prac badawczych, bazy pomiarów produkcji prototypowej,</w:t>
      </w:r>
      <w:r>
        <w:rPr>
          <w:rFonts w:asciiTheme="minorHAnsi" w:hAnsiTheme="minorHAnsi" w:cstheme="minorHAnsi"/>
          <w:sz w:val="20"/>
          <w:szCs w:val="20"/>
        </w:rPr>
        <w:t xml:space="preserve"> </w:t>
      </w:r>
      <w:r w:rsidRPr="00F7356A">
        <w:rPr>
          <w:rFonts w:asciiTheme="minorHAnsi" w:hAnsiTheme="minorHAnsi" w:cstheme="minorHAnsi"/>
          <w:sz w:val="20"/>
          <w:szCs w:val="20"/>
        </w:rPr>
        <w:t>baz</w:t>
      </w:r>
      <w:r>
        <w:rPr>
          <w:rFonts w:asciiTheme="minorHAnsi" w:hAnsiTheme="minorHAnsi" w:cstheme="minorHAnsi"/>
          <w:sz w:val="20"/>
          <w:szCs w:val="20"/>
        </w:rPr>
        <w:t>y</w:t>
      </w:r>
      <w:r w:rsidRPr="00F7356A">
        <w:rPr>
          <w:rFonts w:asciiTheme="minorHAnsi" w:hAnsiTheme="minorHAnsi" w:cstheme="minorHAnsi"/>
          <w:sz w:val="20"/>
          <w:szCs w:val="20"/>
        </w:rPr>
        <w:t xml:space="preserve"> wyników laboratoryjnych, przechowywanie dokumentacji systemowej, niezbędnej do gromadzenia informacji w trakcie badań przemysłowych</w:t>
      </w:r>
    </w:p>
    <w:p w14:paraId="758D4EE4" w14:textId="77777777" w:rsidR="00211344" w:rsidRDefault="00211344" w:rsidP="00211344">
      <w:pPr>
        <w:pStyle w:val="Default"/>
        <w:ind w:left="360"/>
        <w:jc w:val="both"/>
        <w:rPr>
          <w:rFonts w:asciiTheme="minorHAnsi" w:hAnsiTheme="minorHAnsi" w:cstheme="minorHAnsi"/>
          <w:sz w:val="20"/>
          <w:szCs w:val="20"/>
        </w:rPr>
      </w:pPr>
    </w:p>
    <w:p w14:paraId="49188048" w14:textId="77777777" w:rsidR="00211344" w:rsidRPr="0006566B" w:rsidRDefault="00211344" w:rsidP="00211344">
      <w:pPr>
        <w:pStyle w:val="Default"/>
        <w:ind w:left="360"/>
        <w:jc w:val="both"/>
        <w:rPr>
          <w:rFonts w:asciiTheme="minorHAnsi" w:hAnsiTheme="minorHAnsi" w:cstheme="minorHAnsi"/>
          <w:sz w:val="20"/>
          <w:szCs w:val="20"/>
        </w:rPr>
      </w:pPr>
      <w:r w:rsidRPr="0006566B">
        <w:rPr>
          <w:rFonts w:asciiTheme="minorHAnsi" w:hAnsiTheme="minorHAnsi" w:cstheme="minorHAnsi"/>
          <w:sz w:val="20"/>
          <w:szCs w:val="20"/>
        </w:rPr>
        <w:t>Wymagania ogólne</w:t>
      </w:r>
    </w:p>
    <w:p w14:paraId="4BFE22F2" w14:textId="77777777" w:rsidR="00211344" w:rsidRPr="0006566B" w:rsidRDefault="00211344" w:rsidP="00211344">
      <w:pPr>
        <w:pStyle w:val="Default"/>
        <w:ind w:left="360"/>
        <w:jc w:val="both"/>
        <w:rPr>
          <w:rFonts w:asciiTheme="minorHAnsi" w:hAnsiTheme="minorHAnsi" w:cstheme="minorHAnsi"/>
          <w:sz w:val="20"/>
          <w:szCs w:val="20"/>
        </w:rPr>
      </w:pPr>
    </w:p>
    <w:p w14:paraId="6F8F811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lastRenderedPageBreak/>
        <w:t>Współpraca z procesorami o architekturze x86-64.</w:t>
      </w:r>
    </w:p>
    <w:p w14:paraId="6F59489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Instalacja i użytkowanie aplikacji 32-bit. i 64-bit. na dostarczonym systemie operacyjnym.</w:t>
      </w:r>
    </w:p>
    <w:p w14:paraId="4F43C4D1"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 xml:space="preserve">W ramach dostarczonej licencji zawarta możliwość instalacji oprogramowania na serwerze wyposażonym w </w:t>
      </w:r>
      <w:r>
        <w:rPr>
          <w:rFonts w:asciiTheme="minorHAnsi" w:hAnsiTheme="minorHAnsi" w:cstheme="minorHAnsi"/>
          <w:sz w:val="20"/>
          <w:szCs w:val="20"/>
        </w:rPr>
        <w:t xml:space="preserve">min. </w:t>
      </w:r>
      <w:r w:rsidRPr="0006566B">
        <w:rPr>
          <w:rFonts w:asciiTheme="minorHAnsi" w:hAnsiTheme="minorHAnsi" w:cstheme="minorHAnsi"/>
          <w:sz w:val="20"/>
          <w:szCs w:val="20"/>
        </w:rPr>
        <w:t>16 rdzeni.</w:t>
      </w:r>
    </w:p>
    <w:p w14:paraId="75E263A8"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Obsługa 64 procesorów fizycznych oraz co najmniej 64 procesorów logicznych (wirtualnych).</w:t>
      </w:r>
    </w:p>
    <w:p w14:paraId="09162D27"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Pojemność obsługiwanej pamięci RAM w ramach jednej instancji systemu operacyjnego - co najmniej 4TB.</w:t>
      </w:r>
    </w:p>
    <w:p w14:paraId="32CEF43B"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Obsługa dostępu wielościeżkowego do zasobów LAN poprzez kontrolery Gigabit Ethernet, w trybie równoważenia obciążenia łącza (load balancing) i redundancji łącza (failover) – natywnie lub z wykorzystaniem sterowników producenta sprzętu.</w:t>
      </w:r>
    </w:p>
    <w:p w14:paraId="487C44B7"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Praca w roli klienta domeny Microsoft Active Directory.</w:t>
      </w:r>
    </w:p>
    <w:p w14:paraId="6264ECA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kontrolera domeny Microsoft Active Directory na poziomie Microsoft Windows Server 2012.</w:t>
      </w:r>
    </w:p>
    <w:p w14:paraId="54D8C4FF"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DHCP, w tym funkcji klastrowania serwera DHCP (możliwość uruchomienia dwóch serwerów DHCP operujących jednocześnie na tej samej puli oferowanych adresów IP).</w:t>
      </w:r>
    </w:p>
    <w:p w14:paraId="1B0A5929"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DNS.</w:t>
      </w:r>
    </w:p>
    <w:p w14:paraId="770B2A4C"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klienta i serwera czasu (NTP).</w:t>
      </w:r>
    </w:p>
    <w:p w14:paraId="02628C7D"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plików z uwierzytelnieniem i autoryzacją dostępu w domenie Microsoft Active Directory.</w:t>
      </w:r>
    </w:p>
    <w:p w14:paraId="19B45A06"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wydruku z uwierzytelnieniem i autoryzacją dostępu w domenie Microsoft Active Directory.</w:t>
      </w:r>
    </w:p>
    <w:p w14:paraId="36EE5E04"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stron WWW.</w:t>
      </w:r>
    </w:p>
    <w:p w14:paraId="71999505"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użytkowania i dostęp do oprogramowania oferowanego przez producenta systemu operacyjnego umożliwiającego wirtualizowanie zasobów sprzętowych serwera.</w:t>
      </w:r>
    </w:p>
    <w:p w14:paraId="2BF6CB4B"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instalacji i użytkowania systemu operacyjnego na co najmniej dwóch maszynach wirtualnych.</w:t>
      </w:r>
    </w:p>
    <w:p w14:paraId="35E1B412"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pobierania poprawek systemu operacyjnego.</w:t>
      </w:r>
    </w:p>
    <w:p w14:paraId="2EC5D661"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Wszystkie wymienione w tabeli parametry, role, funkcje, itp. systemu operacyjnego objęte są dostarczoną licencją (licencjami) i zawarte w dostarczonej wersji oprogramowania (nie wymagają ponoszenia przez Zamawiającego dodatkowych kosztów).</w:t>
      </w:r>
    </w:p>
    <w:p w14:paraId="76BE17C8" w14:textId="77777777" w:rsidR="00211344" w:rsidRPr="0006566B" w:rsidRDefault="00211344" w:rsidP="00211344">
      <w:pPr>
        <w:pStyle w:val="Default"/>
        <w:ind w:left="360"/>
        <w:jc w:val="both"/>
        <w:rPr>
          <w:rFonts w:asciiTheme="minorHAnsi" w:hAnsiTheme="minorHAnsi" w:cstheme="minorHAnsi"/>
          <w:sz w:val="20"/>
          <w:szCs w:val="20"/>
        </w:rPr>
      </w:pPr>
    </w:p>
    <w:p w14:paraId="75A35DF9" w14:textId="77777777" w:rsidR="00211344" w:rsidRDefault="00211344" w:rsidP="00211344">
      <w:pPr>
        <w:pStyle w:val="Default"/>
        <w:ind w:left="360"/>
        <w:jc w:val="both"/>
        <w:rPr>
          <w:rFonts w:asciiTheme="minorHAnsi" w:hAnsiTheme="minorHAnsi" w:cstheme="minorHAnsi"/>
          <w:sz w:val="20"/>
          <w:szCs w:val="20"/>
        </w:rPr>
      </w:pPr>
      <w:r w:rsidRPr="0006566B">
        <w:rPr>
          <w:rFonts w:asciiTheme="minorHAnsi" w:hAnsiTheme="minorHAnsi" w:cstheme="minorHAnsi"/>
          <w:sz w:val="20"/>
          <w:szCs w:val="20"/>
        </w:rPr>
        <w:t>Licencje</w:t>
      </w:r>
    </w:p>
    <w:p w14:paraId="1758FF4A" w14:textId="77777777" w:rsidR="00211344" w:rsidRPr="0006566B" w:rsidRDefault="00211344" w:rsidP="00211344">
      <w:pPr>
        <w:pStyle w:val="Default"/>
        <w:numPr>
          <w:ilvl w:val="0"/>
          <w:numId w:val="40"/>
        </w:numPr>
        <w:jc w:val="both"/>
        <w:rPr>
          <w:rFonts w:asciiTheme="minorHAnsi" w:hAnsiTheme="minorHAnsi" w:cstheme="minorHAnsi"/>
          <w:sz w:val="20"/>
          <w:szCs w:val="20"/>
        </w:rPr>
      </w:pPr>
      <w:r w:rsidRPr="0006566B">
        <w:rPr>
          <w:rFonts w:asciiTheme="minorHAnsi" w:hAnsiTheme="minorHAnsi" w:cstheme="minorHAnsi"/>
          <w:sz w:val="20"/>
          <w:szCs w:val="20"/>
        </w:rPr>
        <w:t>Licencje wieczyste muszą pozwalać na swobodne przenoszenie pomiędzy serwerami i stacjami roboczymi (np. w przypadku wymiany lub uszkodzenia sprzętu). Licencje muszą pozwalać na sublicencjonowanie dla jednostek stowarzyszonych. Z uwagi na zakres funkcjonalny wdrożenia planowanego na bazie zamawianego oprogramowania oraz konieczności minimalizacji kosztów związanych z wdrożeniem, szkoleniami i eksploatacją systemów, Zamawiający wymaga oferty zawierającej Produkty umożliwiające wykorzystanie wspólnych i jednolitych procedur masowej instalacji, uaktualniania, aktywacji, zarządzania, monitorowania i wsparcia technicznego. Wymagane jest zapewnienie możliwości korzystania z wcześniejszych wersji zakupionego oprogramowania z licencjami wieczystymi i korzystania z kopii zamiennych (możliwość instalacji oprogramowania na wielu urządzeniach przy wykorzystaniu jednego standardowego obrazu), z prawem do:</w:t>
      </w:r>
    </w:p>
    <w:p w14:paraId="4C4667AA"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a) wielokrotnego użycia jednego obrazu dysku w procesie instalacji,</w:t>
      </w:r>
    </w:p>
    <w:p w14:paraId="4403BDEC"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b) tworzenia kopii zapasowych</w:t>
      </w:r>
    </w:p>
    <w:p w14:paraId="5E99E66B"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c) masowej aktywacji oprogramowania przy użyciu jednego klucza aktywacyjnego dla danego typu oprogramowania.</w:t>
      </w:r>
    </w:p>
    <w:p w14:paraId="51296EFC" w14:textId="77777777" w:rsidR="00211344" w:rsidRDefault="00211344" w:rsidP="00211344">
      <w:pPr>
        <w:pStyle w:val="Default"/>
        <w:numPr>
          <w:ilvl w:val="0"/>
          <w:numId w:val="40"/>
        </w:numPr>
        <w:jc w:val="both"/>
        <w:rPr>
          <w:rFonts w:cstheme="minorHAnsi"/>
          <w:sz w:val="20"/>
          <w:szCs w:val="20"/>
        </w:rPr>
      </w:pPr>
      <w:r>
        <w:rPr>
          <w:rFonts w:cstheme="minorHAnsi"/>
          <w:sz w:val="20"/>
          <w:szCs w:val="20"/>
        </w:rPr>
        <w:t xml:space="preserve">Należy dostarczyć min. 4 licencje na system operacyjny oraz 30 licencji dostępowych na użytkownika. </w:t>
      </w:r>
    </w:p>
    <w:p w14:paraId="3D93AAC4" w14:textId="77777777" w:rsidR="00211344" w:rsidRDefault="00211344" w:rsidP="00211344">
      <w:pPr>
        <w:pStyle w:val="Default"/>
        <w:numPr>
          <w:ilvl w:val="0"/>
          <w:numId w:val="40"/>
        </w:numPr>
        <w:jc w:val="both"/>
        <w:rPr>
          <w:rFonts w:cstheme="minorHAnsi"/>
          <w:sz w:val="20"/>
          <w:szCs w:val="20"/>
        </w:rPr>
      </w:pPr>
      <w:r>
        <w:rPr>
          <w:rFonts w:cstheme="minorHAnsi"/>
          <w:sz w:val="20"/>
          <w:szCs w:val="20"/>
        </w:rPr>
        <w:t xml:space="preserve">Zamawiający nie dopuszcza oferowania licencji typu OEM. </w:t>
      </w:r>
    </w:p>
    <w:p w14:paraId="650AE649" w14:textId="77777777" w:rsidR="00211344" w:rsidRPr="000654A7" w:rsidRDefault="00211344" w:rsidP="00211344">
      <w:pPr>
        <w:pStyle w:val="Default"/>
        <w:numPr>
          <w:ilvl w:val="0"/>
          <w:numId w:val="40"/>
        </w:numPr>
        <w:jc w:val="both"/>
        <w:rPr>
          <w:rFonts w:cstheme="minorHAnsi"/>
          <w:sz w:val="20"/>
          <w:szCs w:val="20"/>
        </w:rPr>
      </w:pPr>
      <w:r>
        <w:rPr>
          <w:rFonts w:cstheme="minorHAnsi"/>
          <w:sz w:val="20"/>
          <w:szCs w:val="20"/>
        </w:rPr>
        <w:t>Należy zapewnić wsparcie techniczne przez okres min. 5 lat z dostępem do aktualizacji oprogramowania oraz zgłoszeń awarii w trybie 24h/dobę 7 dni w tygodniu</w:t>
      </w:r>
    </w:p>
    <w:p w14:paraId="6E316A7D" w14:textId="77777777" w:rsidR="00211344" w:rsidRPr="00A10233" w:rsidRDefault="00211344" w:rsidP="00211344">
      <w:pPr>
        <w:pStyle w:val="Default"/>
        <w:ind w:left="360"/>
        <w:jc w:val="both"/>
        <w:rPr>
          <w:rFonts w:asciiTheme="minorHAnsi" w:hAnsiTheme="minorHAnsi" w:cstheme="minorHAnsi"/>
          <w:b/>
          <w:sz w:val="22"/>
          <w:szCs w:val="22"/>
        </w:rPr>
      </w:pPr>
    </w:p>
    <w:p w14:paraId="78CF33CB"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lastRenderedPageBreak/>
        <w:t>Licencja na oprogramowanie do pracy grupowej zespołu (poczta, kalendarz, zadania, kontakty, foldery ) wraz z licencjami dostępowymi dla użytkowników</w:t>
      </w:r>
    </w:p>
    <w:p w14:paraId="4002F2A6" w14:textId="77777777" w:rsidR="00211344" w:rsidRDefault="00211344" w:rsidP="00211344">
      <w:pPr>
        <w:pStyle w:val="Default"/>
        <w:ind w:left="360"/>
        <w:jc w:val="both"/>
        <w:rPr>
          <w:rFonts w:asciiTheme="minorHAnsi" w:hAnsiTheme="minorHAnsi" w:cstheme="minorHAnsi"/>
          <w:b/>
          <w:sz w:val="22"/>
          <w:szCs w:val="22"/>
        </w:rPr>
      </w:pPr>
    </w:p>
    <w:p w14:paraId="4C23A68A"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0EB8ECFA" w14:textId="77777777" w:rsidR="00211344" w:rsidRDefault="00211344" w:rsidP="00211344">
      <w:pPr>
        <w:pStyle w:val="Default"/>
        <w:ind w:left="360"/>
        <w:jc w:val="both"/>
        <w:rPr>
          <w:rFonts w:asciiTheme="minorHAnsi" w:hAnsiTheme="minorHAnsi" w:cstheme="minorHAnsi"/>
          <w:sz w:val="20"/>
          <w:szCs w:val="20"/>
        </w:rPr>
      </w:pPr>
    </w:p>
    <w:p w14:paraId="6767FB6C" w14:textId="77777777" w:rsidR="00211344" w:rsidRPr="00FC0206"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 xml:space="preserve">Licencja na </w:t>
      </w:r>
      <w:r>
        <w:rPr>
          <w:rFonts w:asciiTheme="minorHAnsi" w:hAnsiTheme="minorHAnsi" w:cstheme="minorHAnsi"/>
          <w:sz w:val="20"/>
          <w:szCs w:val="20"/>
        </w:rPr>
        <w:t xml:space="preserve">oprogramowanie przeznaczone do wymiany informacji w ramach zespołu badawczego, </w:t>
      </w:r>
      <w:r w:rsidRPr="00F7356A">
        <w:rPr>
          <w:rFonts w:asciiTheme="minorHAnsi" w:hAnsiTheme="minorHAnsi" w:cstheme="minorHAnsi"/>
          <w:sz w:val="20"/>
          <w:szCs w:val="20"/>
        </w:rPr>
        <w:t>które umożliwia zarządzanie danymi w obrębie wielu źródeł kontrolno-badawczych</w:t>
      </w:r>
      <w:r>
        <w:rPr>
          <w:rFonts w:asciiTheme="minorHAnsi" w:hAnsiTheme="minorHAnsi" w:cstheme="minorHAnsi"/>
          <w:sz w:val="20"/>
          <w:szCs w:val="20"/>
        </w:rPr>
        <w:t>.  Oprogramowanie ma pozwolić na t</w:t>
      </w:r>
      <w:r w:rsidRPr="00FC0206">
        <w:rPr>
          <w:rFonts w:asciiTheme="minorHAnsi" w:hAnsiTheme="minorHAnsi" w:cstheme="minorHAnsi"/>
          <w:sz w:val="20"/>
          <w:szCs w:val="22"/>
        </w:rPr>
        <w:t>worzenie dokumentacji systemowej, niezbędnej do gromadzenia informacji w trakcie badań przemysłowych</w:t>
      </w:r>
      <w:r>
        <w:rPr>
          <w:rFonts w:asciiTheme="minorHAnsi" w:hAnsiTheme="minorHAnsi" w:cstheme="minorHAnsi"/>
          <w:sz w:val="20"/>
          <w:szCs w:val="22"/>
        </w:rPr>
        <w:t xml:space="preserve"> oraz b</w:t>
      </w:r>
      <w:r w:rsidRPr="00FC0206">
        <w:rPr>
          <w:rFonts w:asciiTheme="minorHAnsi" w:hAnsiTheme="minorHAnsi" w:cstheme="minorHAnsi"/>
          <w:sz w:val="20"/>
          <w:szCs w:val="22"/>
        </w:rPr>
        <w:t>udowa</w:t>
      </w:r>
      <w:r>
        <w:rPr>
          <w:rFonts w:asciiTheme="minorHAnsi" w:hAnsiTheme="minorHAnsi" w:cstheme="minorHAnsi"/>
          <w:sz w:val="20"/>
          <w:szCs w:val="22"/>
        </w:rPr>
        <w:t>nie</w:t>
      </w:r>
      <w:r w:rsidRPr="00FC0206">
        <w:rPr>
          <w:rFonts w:asciiTheme="minorHAnsi" w:hAnsiTheme="minorHAnsi" w:cstheme="minorHAnsi"/>
          <w:sz w:val="20"/>
          <w:szCs w:val="22"/>
        </w:rPr>
        <w:t xml:space="preserve"> banku wiedzy technicznej i technologicznej</w:t>
      </w:r>
      <w:r>
        <w:rPr>
          <w:rFonts w:asciiTheme="minorHAnsi" w:hAnsiTheme="minorHAnsi" w:cstheme="minorHAnsi"/>
          <w:sz w:val="20"/>
          <w:szCs w:val="22"/>
        </w:rPr>
        <w:t>. Równocześnie oprogramowanie stanowi s</w:t>
      </w:r>
      <w:r w:rsidRPr="00FC0206">
        <w:rPr>
          <w:rFonts w:asciiTheme="minorHAnsi" w:hAnsiTheme="minorHAnsi" w:cstheme="minorHAnsi"/>
          <w:sz w:val="20"/>
          <w:szCs w:val="22"/>
        </w:rPr>
        <w:t>ystem wymiany wiedzy z innymi ośrodkami badawczymi, instytutami czy kooperantami badawczymi w ramach pakietu aplikacji biurowych</w:t>
      </w:r>
      <w:r>
        <w:rPr>
          <w:rFonts w:asciiTheme="minorHAnsi" w:hAnsiTheme="minorHAnsi" w:cstheme="minorHAnsi"/>
          <w:sz w:val="20"/>
          <w:szCs w:val="22"/>
        </w:rPr>
        <w:t>.</w:t>
      </w:r>
    </w:p>
    <w:p w14:paraId="1B255ED0" w14:textId="77777777" w:rsidR="00211344" w:rsidRPr="00FC0206" w:rsidRDefault="00211344" w:rsidP="00211344">
      <w:pPr>
        <w:pStyle w:val="Default"/>
        <w:ind w:left="1068"/>
        <w:jc w:val="both"/>
        <w:rPr>
          <w:rFonts w:asciiTheme="minorHAnsi" w:hAnsiTheme="minorHAnsi" w:cstheme="minorHAnsi"/>
          <w:sz w:val="20"/>
          <w:szCs w:val="20"/>
        </w:rPr>
      </w:pPr>
    </w:p>
    <w:p w14:paraId="03B31FB7" w14:textId="77777777" w:rsidR="00211344" w:rsidRPr="00BC0F72" w:rsidRDefault="00211344" w:rsidP="00211344">
      <w:pPr>
        <w:pStyle w:val="Default"/>
        <w:ind w:left="360"/>
        <w:jc w:val="both"/>
        <w:rPr>
          <w:rFonts w:asciiTheme="minorHAnsi" w:hAnsiTheme="minorHAnsi" w:cstheme="minorHAnsi"/>
          <w:sz w:val="20"/>
          <w:szCs w:val="22"/>
        </w:rPr>
      </w:pPr>
      <w:r w:rsidRPr="00BC0F72">
        <w:rPr>
          <w:rFonts w:asciiTheme="minorHAnsi" w:hAnsiTheme="minorHAnsi" w:cstheme="minorHAnsi"/>
          <w:sz w:val="20"/>
          <w:szCs w:val="22"/>
        </w:rPr>
        <w:t>Wymagania ogólne</w:t>
      </w:r>
    </w:p>
    <w:p w14:paraId="09D47445" w14:textId="77777777" w:rsidR="00211344" w:rsidRPr="00BC0F72" w:rsidRDefault="00211344" w:rsidP="00211344">
      <w:pPr>
        <w:pStyle w:val="Default"/>
        <w:ind w:left="360"/>
        <w:jc w:val="both"/>
        <w:rPr>
          <w:rFonts w:asciiTheme="minorHAnsi" w:hAnsiTheme="minorHAnsi" w:cstheme="minorHAnsi"/>
          <w:sz w:val="20"/>
          <w:szCs w:val="22"/>
        </w:rPr>
      </w:pPr>
    </w:p>
    <w:p w14:paraId="367D24CD"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Integracja z klientem pocztowym Microsoft Outlook 2016 oraz Outlook 2013 po protokole MAPI lub MAPI over HTTP.</w:t>
      </w:r>
    </w:p>
    <w:p w14:paraId="79F9ACFA"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Obsługa minimum </w:t>
      </w:r>
      <w:r>
        <w:rPr>
          <w:rFonts w:asciiTheme="minorHAnsi" w:hAnsiTheme="minorHAnsi" w:cstheme="minorHAnsi"/>
          <w:sz w:val="20"/>
          <w:szCs w:val="22"/>
        </w:rPr>
        <w:t>3</w:t>
      </w:r>
      <w:r w:rsidRPr="00BC0F72">
        <w:rPr>
          <w:rFonts w:asciiTheme="minorHAnsi" w:hAnsiTheme="minorHAnsi" w:cstheme="minorHAnsi"/>
          <w:sz w:val="20"/>
          <w:szCs w:val="22"/>
        </w:rPr>
        <w:t xml:space="preserve">0 skrzynek pocztowych. Należy dostarczyć wszystkie niezbędne licencje do obsługi </w:t>
      </w:r>
      <w:r>
        <w:rPr>
          <w:rFonts w:asciiTheme="minorHAnsi" w:hAnsiTheme="minorHAnsi" w:cstheme="minorHAnsi"/>
          <w:sz w:val="20"/>
          <w:szCs w:val="22"/>
        </w:rPr>
        <w:t>3</w:t>
      </w:r>
      <w:r w:rsidRPr="00BC0F72">
        <w:rPr>
          <w:rFonts w:asciiTheme="minorHAnsi" w:hAnsiTheme="minorHAnsi" w:cstheme="minorHAnsi"/>
          <w:sz w:val="20"/>
          <w:szCs w:val="22"/>
        </w:rPr>
        <w:t>0 skrzynek .</w:t>
      </w:r>
    </w:p>
    <w:p w14:paraId="7A6DF139"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Zapewnienie dostępu do skrzynek pocztowych dla użytkowników przez portal webowy dostępny wewnątrz oraz na zewnątrz organizacji.</w:t>
      </w:r>
    </w:p>
    <w:p w14:paraId="66CC0207"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Integracja z Active Directory (w szczególności brak konieczności zakładania nowych kont dla użytkowników serwera pocztowego jeżeli użytkownik ma już konto w domenie Active Directory).</w:t>
      </w:r>
    </w:p>
    <w:p w14:paraId="3B76BD28"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Pr>
          <w:rFonts w:asciiTheme="minorHAnsi" w:hAnsiTheme="minorHAnsi" w:cstheme="minorHAnsi"/>
          <w:sz w:val="20"/>
          <w:szCs w:val="22"/>
        </w:rPr>
        <w:t>Możliwość r</w:t>
      </w:r>
      <w:r w:rsidRPr="00BC0F72">
        <w:rPr>
          <w:rFonts w:asciiTheme="minorHAnsi" w:hAnsiTheme="minorHAnsi" w:cstheme="minorHAnsi"/>
          <w:sz w:val="20"/>
          <w:szCs w:val="22"/>
        </w:rPr>
        <w:t>ozłożenie ruchu pocztowego na minimum dwa serwery pracujące w klastrze wysokiej dostępności. W przypadku awarii jednego z pracujących serwerów, dostęp do skrzynek pocztowych powinien być zapewniony dla wszystkich użytkowników systemu pocztowego.</w:t>
      </w:r>
    </w:p>
    <w:p w14:paraId="55436F9C"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Możliwość dołożenia dodatkowych serwerów pocztowych do klastra pracy awaryjnej bez konieczności usuwania klastra i bez ingerencji w dane użytkowników trzymane w bazach pocztowych.</w:t>
      </w:r>
    </w:p>
    <w:p w14:paraId="171DA9D6"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Wbudowane zabezpieczenia przed wirusami, spamem i atakami mającymi na celu wyłudzenie informacji.</w:t>
      </w:r>
    </w:p>
    <w:p w14:paraId="68093B60"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Wbudowane rozwiązania monitorowania i dostępności zarządzanej obejmują funkcje samonaprawiania, umożliwiające automatyczne odzyskanie informacji po awarii.</w:t>
      </w:r>
    </w:p>
    <w:p w14:paraId="4537BA66"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Zapewnienie dla użytkownika dostępu do poczty e-mail, kalendarza, kontaktów i zadań w obrębie jego skrzynki pocztowej.</w:t>
      </w:r>
    </w:p>
    <w:p w14:paraId="05F6C3CF"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Możliwości kontroli dostępu do skrzynek pocztowych opartej na rolach.</w:t>
      </w:r>
    </w:p>
    <w:p w14:paraId="66C28D20"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Licencja na skrzynkę pocztową:</w:t>
      </w:r>
    </w:p>
    <w:p w14:paraId="50ACF5EA"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Poczta e-mail, kalendarz, kontakty i zadania</w:t>
      </w:r>
    </w:p>
    <w:p w14:paraId="1663046D"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Aplikacja w sieci Web (obsługa w przeglądarkach Internet Explorer, Firefox, Chrome, Safari i Edge)</w:t>
      </w:r>
    </w:p>
    <w:p w14:paraId="6FAD8B15"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Możliwości kontroli dostępu opartej na rolach</w:t>
      </w:r>
    </w:p>
    <w:p w14:paraId="6FBD9B63"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Serwer poczty elektronicznej musi charakteryzować się następującymi cechami, bez konieczności użycia rozwiązań firm trzecich:</w:t>
      </w:r>
    </w:p>
    <w:p w14:paraId="57FF216B"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podstawowa:</w:t>
      </w:r>
    </w:p>
    <w:p w14:paraId="71B1FAD5"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Odbieranie i wysyłanie poczty elektronicznej do adresatów wewnętrznych oraz zewnętrznych.</w:t>
      </w:r>
    </w:p>
    <w:p w14:paraId="53F0ABF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Mechanizmy powiadomień o dostarczeniu i przeczytaniu wiadomości przez adresata.</w:t>
      </w:r>
    </w:p>
    <w:p w14:paraId="53024D3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Tworzenie i zarządzanie osobistymi kalendarzami, listami kontaktów, zadaniami, notatkami.</w:t>
      </w:r>
    </w:p>
    <w:p w14:paraId="1A58338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Zarządzanie strukturą i zawartością skrzynki pocztowej samodzielnie przez użytkownika końcowego, w tym: kategoryzacja treści, nadawanie ważności, flagowanie elementów do wykonania wraz z przypisaniem terminu i przypomnienia.</w:t>
      </w:r>
    </w:p>
    <w:p w14:paraId="44BEB7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Wsparcie dla zastosowania podpisu cyfrowego i szyfrowania wiadomości.</w:t>
      </w:r>
    </w:p>
    <w:p w14:paraId="63A054A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Pełne wsparcie dla klienta poczty elektronicznej MS Outlook 2013 i nowszych wersji.</w:t>
      </w:r>
    </w:p>
    <w:p w14:paraId="18DB78EF"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wspierająca pracę grupową:</w:t>
      </w:r>
    </w:p>
    <w:p w14:paraId="36BB378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lastRenderedPageBreak/>
        <w:t>Możliwość przypisania różnych akcji dla adresata wysyłanej wiadomości, np. do wykonania czy do przeczytania w określonym terminie.</w:t>
      </w:r>
    </w:p>
    <w:p w14:paraId="474CF8B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określenia terminu wygaśnięcia wiadomości.</w:t>
      </w:r>
    </w:p>
    <w:p w14:paraId="6EEDC4A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Udostępnianie kalendarzy osobistych do wglądu i edycji innym użytkownikom, z możliwością definiowania poziomów dostępu.</w:t>
      </w:r>
    </w:p>
    <w:p w14:paraId="329DAAB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Podgląd stanu dostępności innych użytkowników w oparciu o ich kalendarze.</w:t>
      </w:r>
    </w:p>
    <w:p w14:paraId="65AAC79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63B7733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prostego delegowania zadań do innych pracowników, wraz ze śledzeniem statusu ich wykonania.</w:t>
      </w:r>
    </w:p>
    <w:p w14:paraId="0FCB3DBA"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Tworzenie i zarządzanie współdzielonymi repozytoriami kontaktów, kalendarzy, zadań.</w:t>
      </w:r>
    </w:p>
    <w:p w14:paraId="030BC60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udostępniania współdzielonych skrzynek pocztowych.</w:t>
      </w:r>
    </w:p>
    <w:p w14:paraId="75B838D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Obsługa list i grup dystrybucyjnych.</w:t>
      </w:r>
    </w:p>
    <w:p w14:paraId="376911C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Dostęp ze skrzynki do poczty elektronicznej, poczty głosowej, wiadomości błyskawicznych i SMS-ów.</w:t>
      </w:r>
    </w:p>
    <w:p w14:paraId="54DB09E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informowania zewnętrznych użytkowników poczty elektronicznej o dostępności lub niedostępności.</w:t>
      </w:r>
    </w:p>
    <w:p w14:paraId="7216E4B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wyboru poziomu szczegółowości udostępnianych informacji o dostępności.</w:t>
      </w:r>
    </w:p>
    <w:p w14:paraId="735204FE"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Widok rozmowy, automatycznie organizujący wątki wiadomości w oparciu o przebieg wymiany wiadomości między stronami.</w:t>
      </w:r>
    </w:p>
    <w:p w14:paraId="2C96787D"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Konfigurowalna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239922C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Transkrypcja tekstowa wiadomości głosowej, pozwalająca użytkownikom na szybkie priorytetyzowanie wiadomości bez potrzeby odsłuchiwania pliku dźwiękowego.</w:t>
      </w:r>
    </w:p>
    <w:p w14:paraId="44D7540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uruchomienia osobistego automatycznego asystenta poczty głosowej.</w:t>
      </w:r>
    </w:p>
    <w:p w14:paraId="13BF6B6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Telefoniczny dostęp do całej skrzynki odbiorczej – w tym poczty elektronicznej, kalendarza i listy kontaktów.</w:t>
      </w:r>
    </w:p>
    <w:p w14:paraId="3189417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Udostępnienie użytkownikom możliwości aktualizacji danych kontaktowych i śledzenia odbierania wiadomości e-mail bez potrzeby wsparcia ze strony informatyków.</w:t>
      </w:r>
    </w:p>
    <w:p w14:paraId="79A1384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automatycznego dostosowywania się funkcji wyszukiwania kontaktów do najczęstszych działań użytkownika skutkujący priorytetyzacją wyników wyszukiwania.</w:t>
      </w:r>
    </w:p>
    <w:p w14:paraId="38F9425B"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wyszukiwania i łączenia danych (zgodnie z nadanymi uprawnieniami) z systemu poczty elektronicznej oraz innych systemów w organizacji (portali wielofunkcyjnych, komunikacji wielokanałowej i serwerów plików).</w:t>
      </w:r>
    </w:p>
    <w:p w14:paraId="4D735E05"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dostępu do poczty elektronicznej i dokumentów przechowywanych w portalu wielofunkcyjnym z poziomu jednego interfejsu zarządzanego przez serwer poczty elektronicznej.</w:t>
      </w:r>
    </w:p>
    <w:p w14:paraId="5DEAD229"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wspierająca zarządzanie systemem poczty:</w:t>
      </w:r>
    </w:p>
    <w:p w14:paraId="148D61C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Oparcie się o profile użytkowników usługi katalogowej Active Directory.</w:t>
      </w:r>
    </w:p>
    <w:p w14:paraId="0EEC3AC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Wielofunkcyjna konsola administracyjna umożliwiająca zarządzanie systemem poczty oraz dostęp do statystyk i logów użytkowników.</w:t>
      </w:r>
    </w:p>
    <w:p w14:paraId="17979BF8"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Definiowanie kwot na rozmiar skrzynek pocztowych użytkowników, z możliwością ustawiania progu ostrzegawczego poniżej górnego limitu.</w:t>
      </w:r>
    </w:p>
    <w:p w14:paraId="2E472AF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definiowania różnych limitów pojemności skrzynek dla różnych grup użytkowników.</w:t>
      </w:r>
    </w:p>
    <w:p w14:paraId="7B49516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przeniesienia lokalnych archiwów skrzynki pocztowej z komputera na serwer.</w:t>
      </w:r>
    </w:p>
    <w:p w14:paraId="46C5A5CD"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lastRenderedPageBreak/>
        <w:t>Możliwość korzystania interfejsu internetowego w celu wykonywania często spotykanych zadań związanych z pomocą techniczną.</w:t>
      </w:r>
    </w:p>
    <w:p w14:paraId="2776963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Narzędzia kreowania, wdrażania i zarządzania politykami nazewnictwa grup dystrybucyjnych.</w:t>
      </w:r>
    </w:p>
    <w:p w14:paraId="0B6CC526"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Utrzymanie bezpieczeństwa informacji</w:t>
      </w:r>
    </w:p>
    <w:p w14:paraId="66D3F32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Centralne zarządzanie cyklem życia informacji przechowywanych w systemie pocztowym, w tym: śledzenie i rejestrowanie ich przepływu, wygaszanie po zdefiniowanym okresie czasu, oraz archiwizacja danych.</w:t>
      </w:r>
    </w:p>
    <w:p w14:paraId="6C233F4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1F3EB40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zapobiegania wycieku danych ograniczający możliwość wysyłania danych poufnych do nieuprawnionych osób poprzez konfigurowalne funkcje monitoringu i analizy treści, bazujący na ustalonych politykach bezpieczeństwa.</w:t>
      </w:r>
    </w:p>
    <w:p w14:paraId="438C229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łatwiejszej klasyfikacji wiadomości e-mail dzięki definiowanym centralnie zasadom zachowywania, które można zastosować do poszczególnych wiadomości.</w:t>
      </w:r>
    </w:p>
    <w:p w14:paraId="7216E1D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wyszukiwania w wielu skrzynkach pocztowych poprzez interfejs przeglądarkowy i funkcja kontroli dostępu w oparciu o role, która umożliwia przeprowadzanie ukierunkowanych wyszukiwań przez pracowników działu HR lub osoby odpowiedzialne za zgodność z uregulowaniami.</w:t>
      </w:r>
    </w:p>
    <w:p w14:paraId="72E3457A"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Integracja z usługami zarządzania dostępem do treści pozwalająca na automatyczne stosowanie ochrony za pomocą zarządzania prawami do informacji (IRM) w celu ograniczenia dostępu do informacji  zawartych w wiadomości i możliwości ich wykorzystania, niezależnie od miejsca nadania. Wymagana jest możliwość użycia 2048-bitowych kluczy RSA, 256-bitowych kluczy SHA-1 oraz algorytmu SHA-2.</w:t>
      </w:r>
    </w:p>
    <w:p w14:paraId="13ED5F1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Odbieranie wiadomości zabezpieczonych funkcją IRM przez zewnętrznych użytkowników oraz odpowiadanie na nie – nawet, jeśli nie dysponują oni usługami ADRMS. </w:t>
      </w:r>
    </w:p>
    <w:p w14:paraId="1464F1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Przeglądanie wiadomości wysyłanych na grupy dystrybucyjne przez osoby nimi zarządzające i blokowanie lub dopuszczanie transmisji.</w:t>
      </w:r>
    </w:p>
    <w:p w14:paraId="7F9F40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Wbudowane filtrowanie oprogramowania złośliwego, wirusów i oprogramowania szpiegującego zawartego w wiadomościach wraz z konfigurowalnymi mechanizmami powiadamiania o wykryciu i usunięciu takiego oprogramowania.</w:t>
      </w:r>
    </w:p>
    <w:p w14:paraId="1B88441E"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audytu dostępu do skrzynek pocztowych z kreowaniem raportów audytowych.</w:t>
      </w:r>
    </w:p>
    <w:p w14:paraId="55A9E0AE"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Wsparcie dla użytkowników mobilnych:</w:t>
      </w:r>
    </w:p>
    <w:p w14:paraId="711D4C5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pracy off-line przy słabej łączności z serwerem lub jej całkowitym braku, z pełnym dostępem do danych przechowywanych w skrzynce pocztowej oraz z zachowaniem podstawowej funkcjonalności systemu. Automatyczne przełączanie się aplikacji klienckiej pomiędzy trybem on-line i off-line w zależności od stanu połączenia z serwerem</w:t>
      </w:r>
    </w:p>
    <w:p w14:paraId="0C07DE9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Możliwość „lekkiej” synchronizacji aplikacji klienckiej z serwerem w przypadku słabego łącza (tylko nagłówki wiadomości, tylko wiadomości poniżej określonego rozmiaru itp.) </w:t>
      </w:r>
    </w:p>
    <w:p w14:paraId="24F1EC2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korzystania z usług systemu pocztowego w podstawowym zakresie przy pomocy urządzeń mobilnych typu PDA, SmartPhone.</w:t>
      </w:r>
    </w:p>
    <w:p w14:paraId="6FFCF2E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55FF48E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Umożliwienie – w przypadku korzystania z systemu pocztowego przez interfejs przeglądarkowy – podglądu typowych załączników (dokumenty PDF, MS Office) w </w:t>
      </w:r>
      <w:r w:rsidRPr="00BC0F72">
        <w:rPr>
          <w:rFonts w:asciiTheme="minorHAnsi" w:hAnsiTheme="minorHAnsi" w:cstheme="minorHAnsi"/>
          <w:sz w:val="20"/>
          <w:szCs w:val="22"/>
        </w:rPr>
        <w:lastRenderedPageBreak/>
        <w:t>postaci stron HTML, bez potrzeby posiadania na stacji użytkownika odpowiedniej aplikacji klienckiej.</w:t>
      </w:r>
    </w:p>
    <w:p w14:paraId="3D9BCC2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Obsługa interfejsu dostępu do poczty w takich przeglądarkach, jak Internet Explorer, Apple Safari i Mozilla Firefox. </w:t>
      </w:r>
    </w:p>
    <w:p w14:paraId="1CF4145E"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Funkcje związane z niezawodnością systemu:</w:t>
      </w:r>
    </w:p>
    <w:p w14:paraId="5ABE1AF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Zapewnienie pełnej redundancji serwerów poczty elektronicznej bez konieczności wdrażania klastrów oraz niezależnych produktów do replikacji danych. </w:t>
      </w:r>
    </w:p>
    <w:p w14:paraId="4A1D2DC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Automatyzacja replikacji bazy danych i przełączania awaryjnego już dla dwóch serwerów poczty, a także w wypadku centrów danych rozproszonych geograficznie.</w:t>
      </w:r>
    </w:p>
    <w:p w14:paraId="5C72000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Utrzymanie dostępności i uzyskanie możliwości szybkiego odzyskiwania po awarii dzięki możliwości konfiguracji wielu replik każdej bazy danych skrzynki pocztowej.</w:t>
      </w:r>
    </w:p>
    <w:p w14:paraId="1C7843D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Automatyczne odtwarzanie redundancji poprzez tworzenie kopii zapasowych w miejsce kopii na uszkodzonych dyskach według zadanego schematu.</w:t>
      </w:r>
    </w:p>
    <w:p w14:paraId="4CCE8E0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Ograniczenie zakłócenia pracy użytkowników podczas przenoszenia skrzynek pocztowych między serwerami, pozwalające na przeprowadzanie migracji i konserwacji w dowolnym czasie – nawet w godzinach pracy biurowej.</w:t>
      </w:r>
    </w:p>
    <w:p w14:paraId="2B2A977A" w14:textId="77777777" w:rsidR="00211344"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Zapewnienie ochrony przed utratą e-maili spowodowaną uaktualnianiem lub awarią roli serwera transportu poprzez zapewnienie redundancji i inteligentne przekierowywanie poczty na inną dostępną ścieżkę.</w:t>
      </w:r>
    </w:p>
    <w:p w14:paraId="1C01F85E" w14:textId="77777777" w:rsidR="00211344" w:rsidRPr="00476504" w:rsidRDefault="00211344" w:rsidP="00211344">
      <w:pPr>
        <w:pStyle w:val="Default"/>
        <w:numPr>
          <w:ilvl w:val="0"/>
          <w:numId w:val="37"/>
        </w:numPr>
        <w:jc w:val="both"/>
        <w:rPr>
          <w:rFonts w:asciiTheme="minorHAnsi" w:hAnsiTheme="minorHAnsi" w:cstheme="minorHAnsi"/>
          <w:sz w:val="20"/>
          <w:szCs w:val="22"/>
        </w:rPr>
      </w:pPr>
      <w:r>
        <w:rPr>
          <w:rFonts w:asciiTheme="minorHAnsi" w:hAnsiTheme="minorHAnsi" w:cstheme="minorHAnsi"/>
          <w:sz w:val="20"/>
          <w:szCs w:val="22"/>
        </w:rPr>
        <w:t xml:space="preserve">Licencja dostępowa:  </w:t>
      </w:r>
      <w:r w:rsidRPr="00476504">
        <w:rPr>
          <w:rFonts w:asciiTheme="minorHAnsi" w:hAnsiTheme="minorHAnsi" w:cstheme="minorHAnsi"/>
          <w:sz w:val="20"/>
          <w:szCs w:val="22"/>
        </w:rPr>
        <w:t>Licencje wieczyste muszą pozwalać na swobodne przenoszenie pomiędzy serwerami i stacjami roboczymi (np. w przypadku wymiany lub uszkodzenia sprzętu). Licencje muszą pozwalać na sublicencjonowanie dla jednostek stowarzyszonych. Z uwagi na zakres funkcjonalny wdrożenia planowanego na bazie zamawianego oprogramowania oraz konieczności minimalizacji kosztów związanych z wdrożeniem, szkoleniami i eksploatacją systemów, Zamawiający wymaga oferty zawierającej Produkty umożliwiające wykorzystanie wspólnych i jednolitych procedur masowej instalacji, uaktualniania, aktywacji, zarządzania, monitorowania i wsparcia technicznego. Wymagane jest zapewnienie możliwości korzystania z wcześniejszych wersji zakupionego oprogramowania z licencjami wieczystymi i korzystania z kopii zamiennych (możliwość instalacji oprogramowania na wielu urządzeniach przy wykorzystaniu jednego standardowego obrazu), z prawem do:</w:t>
      </w:r>
    </w:p>
    <w:p w14:paraId="12A1E7D9" w14:textId="77777777" w:rsidR="00211344" w:rsidRPr="0047650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a) wielokrotnego użycia jednego obrazu dysku w procesie instalacji,</w:t>
      </w:r>
    </w:p>
    <w:p w14:paraId="68481E10" w14:textId="77777777" w:rsidR="00211344" w:rsidRPr="0047650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b) tworzenia kopii zapasowych</w:t>
      </w:r>
    </w:p>
    <w:p w14:paraId="31B6286D" w14:textId="77777777" w:rsidR="0021134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c) masowej aktywacji oprogramowania przy użyciu jednego klucza aktywacyjnego dla danego typu oprogramowania.</w:t>
      </w:r>
    </w:p>
    <w:p w14:paraId="3439A48E" w14:textId="77777777" w:rsidR="00211344" w:rsidRPr="00BC0F72" w:rsidRDefault="00211344" w:rsidP="00211344">
      <w:pPr>
        <w:pStyle w:val="Default"/>
        <w:ind w:left="360"/>
        <w:jc w:val="both"/>
        <w:rPr>
          <w:rFonts w:asciiTheme="minorHAnsi" w:hAnsiTheme="minorHAnsi" w:cstheme="minorHAnsi"/>
          <w:sz w:val="20"/>
          <w:szCs w:val="22"/>
        </w:rPr>
      </w:pPr>
      <w:r w:rsidRPr="00BC0F72">
        <w:rPr>
          <w:rFonts w:asciiTheme="minorHAnsi" w:hAnsiTheme="minorHAnsi" w:cstheme="minorHAnsi"/>
          <w:sz w:val="20"/>
          <w:szCs w:val="22"/>
        </w:rPr>
        <w:t>Licencje</w:t>
      </w:r>
    </w:p>
    <w:p w14:paraId="226AB5F4" w14:textId="77777777" w:rsidR="00211344" w:rsidRDefault="00211344" w:rsidP="00211344">
      <w:pPr>
        <w:pStyle w:val="Default"/>
        <w:ind w:left="360"/>
        <w:jc w:val="both"/>
        <w:rPr>
          <w:rFonts w:asciiTheme="minorHAnsi" w:hAnsiTheme="minorHAnsi" w:cstheme="minorHAnsi"/>
          <w:b/>
          <w:sz w:val="22"/>
          <w:szCs w:val="22"/>
        </w:rPr>
      </w:pPr>
    </w:p>
    <w:p w14:paraId="72D3075D"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Należy dostarczyć wszystkie niezbędne licencje do obsługi </w:t>
      </w:r>
      <w:r>
        <w:rPr>
          <w:rFonts w:asciiTheme="minorHAnsi" w:hAnsiTheme="minorHAnsi" w:cstheme="minorHAnsi"/>
          <w:sz w:val="20"/>
          <w:szCs w:val="22"/>
        </w:rPr>
        <w:t xml:space="preserve">min. 30 użytkowników systemu. </w:t>
      </w:r>
      <w:r>
        <w:rPr>
          <w:rFonts w:cstheme="minorHAnsi"/>
          <w:sz w:val="20"/>
          <w:szCs w:val="20"/>
        </w:rPr>
        <w:t xml:space="preserve">Zamawiający nie dopuszcza oferowania licencji typu OEM. </w:t>
      </w:r>
      <w:r w:rsidRPr="00BC0F72">
        <w:rPr>
          <w:rFonts w:asciiTheme="minorHAnsi" w:hAnsiTheme="minorHAnsi" w:cstheme="minorHAnsi"/>
          <w:sz w:val="20"/>
          <w:szCs w:val="22"/>
        </w:rPr>
        <w:t>Należ</w:t>
      </w:r>
      <w:r>
        <w:rPr>
          <w:rFonts w:asciiTheme="minorHAnsi" w:hAnsiTheme="minorHAnsi" w:cstheme="minorHAnsi"/>
          <w:sz w:val="20"/>
          <w:szCs w:val="22"/>
        </w:rPr>
        <w:t xml:space="preserve">y zapewnić wsparcie techniczne </w:t>
      </w:r>
      <w:r w:rsidRPr="00BC0F72">
        <w:rPr>
          <w:rFonts w:asciiTheme="minorHAnsi" w:hAnsiTheme="minorHAnsi" w:cstheme="minorHAnsi"/>
          <w:sz w:val="20"/>
          <w:szCs w:val="22"/>
        </w:rPr>
        <w:t xml:space="preserve"> przez okres min. 5 lat z dostępem do aktualizacji oprogramowania oraz zgłoszeń awarii w trybie 24h/dobę 7 dni w tygodniu</w:t>
      </w:r>
    </w:p>
    <w:p w14:paraId="24CE5DB1" w14:textId="77777777" w:rsidR="00211344" w:rsidRDefault="00211344" w:rsidP="00211344">
      <w:pPr>
        <w:pStyle w:val="Default"/>
        <w:ind w:left="360"/>
        <w:jc w:val="both"/>
        <w:rPr>
          <w:rFonts w:asciiTheme="minorHAnsi" w:hAnsiTheme="minorHAnsi" w:cstheme="minorHAnsi"/>
          <w:b/>
          <w:sz w:val="22"/>
          <w:szCs w:val="22"/>
        </w:rPr>
      </w:pPr>
    </w:p>
    <w:p w14:paraId="1BED2027" w14:textId="77777777" w:rsidR="00211344" w:rsidRPr="00A10233" w:rsidRDefault="00211344" w:rsidP="00211344">
      <w:pPr>
        <w:pStyle w:val="Default"/>
        <w:ind w:left="360"/>
        <w:jc w:val="both"/>
        <w:rPr>
          <w:rFonts w:asciiTheme="minorHAnsi" w:hAnsiTheme="minorHAnsi" w:cstheme="minorHAnsi"/>
          <w:b/>
          <w:sz w:val="22"/>
          <w:szCs w:val="22"/>
        </w:rPr>
      </w:pPr>
    </w:p>
    <w:p w14:paraId="72F72B44" w14:textId="7FDE09C4" w:rsidR="00211344" w:rsidRDefault="004B4E5E" w:rsidP="004B4E5E">
      <w:pPr>
        <w:pStyle w:val="Default"/>
        <w:numPr>
          <w:ilvl w:val="0"/>
          <w:numId w:val="31"/>
        </w:numPr>
        <w:jc w:val="both"/>
        <w:rPr>
          <w:rFonts w:asciiTheme="minorHAnsi" w:hAnsiTheme="minorHAnsi" w:cstheme="minorHAnsi"/>
          <w:b/>
          <w:sz w:val="22"/>
          <w:szCs w:val="22"/>
        </w:rPr>
      </w:pPr>
      <w:r>
        <w:rPr>
          <w:rFonts w:asciiTheme="minorHAnsi" w:hAnsiTheme="minorHAnsi" w:cstheme="minorHAnsi"/>
          <w:b/>
          <w:sz w:val="22"/>
          <w:szCs w:val="22"/>
        </w:rPr>
        <w:t>L</w:t>
      </w:r>
      <w:r w:rsidRPr="004B4E5E">
        <w:rPr>
          <w:rFonts w:asciiTheme="minorHAnsi" w:hAnsiTheme="minorHAnsi" w:cstheme="minorHAnsi"/>
          <w:b/>
          <w:sz w:val="22"/>
          <w:szCs w:val="22"/>
        </w:rPr>
        <w:t>icencja na oprogramowanie do synchronizacji serwerów pracy grupowej zespołu</w:t>
      </w:r>
    </w:p>
    <w:p w14:paraId="0F43CB43" w14:textId="77777777" w:rsidR="00211344" w:rsidRDefault="00211344" w:rsidP="00211344">
      <w:pPr>
        <w:pStyle w:val="Default"/>
        <w:ind w:left="360"/>
        <w:jc w:val="both"/>
        <w:rPr>
          <w:rFonts w:asciiTheme="minorHAnsi" w:hAnsiTheme="minorHAnsi" w:cstheme="minorHAnsi"/>
          <w:b/>
          <w:sz w:val="22"/>
          <w:szCs w:val="22"/>
        </w:rPr>
      </w:pPr>
    </w:p>
    <w:p w14:paraId="36D9910C"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517D66EE" w14:textId="73345EF3" w:rsidR="007247FD" w:rsidRPr="00FC0206" w:rsidRDefault="007247FD" w:rsidP="007247FD">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 xml:space="preserve">Licencja na </w:t>
      </w:r>
      <w:r>
        <w:rPr>
          <w:rFonts w:asciiTheme="minorHAnsi" w:hAnsiTheme="minorHAnsi" w:cstheme="minorHAnsi"/>
          <w:sz w:val="20"/>
          <w:szCs w:val="20"/>
        </w:rPr>
        <w:t xml:space="preserve">oprogramowanie przeznaczone do synchronizacji danych pomiędzy serwerami  wymiany informacji w ramach zespołu badawczego.  Oprogramowanie ma zapewnić bezpieczną oraz wydajną komunikację pomiędzy serwerami, gwarantować </w:t>
      </w:r>
      <w:r w:rsidR="005E7D38">
        <w:rPr>
          <w:rFonts w:asciiTheme="minorHAnsi" w:hAnsiTheme="minorHAnsi" w:cstheme="minorHAnsi"/>
          <w:sz w:val="20"/>
          <w:szCs w:val="20"/>
        </w:rPr>
        <w:t>poprawność przesyłanych danych oraz minimalizować opóźnienia w komunikacji.</w:t>
      </w:r>
    </w:p>
    <w:p w14:paraId="7AF08872" w14:textId="77777777" w:rsidR="00211344" w:rsidRDefault="00211344" w:rsidP="00211344">
      <w:pPr>
        <w:pStyle w:val="Default"/>
        <w:ind w:left="360"/>
        <w:jc w:val="both"/>
        <w:rPr>
          <w:rFonts w:cstheme="minorHAnsi"/>
          <w:bCs/>
          <w:sz w:val="20"/>
          <w:szCs w:val="20"/>
        </w:rPr>
      </w:pPr>
    </w:p>
    <w:p w14:paraId="78AF8A6D" w14:textId="77777777" w:rsidR="00211344" w:rsidRPr="00FE6E28" w:rsidRDefault="00211344" w:rsidP="00211344">
      <w:pPr>
        <w:pStyle w:val="Default"/>
        <w:ind w:left="360"/>
        <w:jc w:val="both"/>
        <w:rPr>
          <w:rFonts w:cstheme="minorHAnsi"/>
          <w:bCs/>
          <w:sz w:val="20"/>
          <w:szCs w:val="20"/>
        </w:rPr>
      </w:pPr>
      <w:r w:rsidRPr="00FE6E28">
        <w:rPr>
          <w:rFonts w:cstheme="minorHAnsi"/>
          <w:bCs/>
          <w:sz w:val="20"/>
          <w:szCs w:val="20"/>
        </w:rPr>
        <w:t>Wymagania ogólne</w:t>
      </w:r>
    </w:p>
    <w:p w14:paraId="015E721C" w14:textId="77777777" w:rsidR="00211344" w:rsidRPr="00FE6E28" w:rsidRDefault="00211344" w:rsidP="00211344">
      <w:pPr>
        <w:pStyle w:val="Default"/>
        <w:ind w:left="360"/>
        <w:jc w:val="both"/>
        <w:rPr>
          <w:rFonts w:cstheme="minorHAnsi"/>
          <w:sz w:val="20"/>
          <w:szCs w:val="20"/>
        </w:rPr>
      </w:pPr>
    </w:p>
    <w:p w14:paraId="196178B0" w14:textId="4605B26A" w:rsidR="005E7D38" w:rsidRPr="005E7D38" w:rsidRDefault="005E7D38" w:rsidP="00E6609A">
      <w:pPr>
        <w:pStyle w:val="Default"/>
        <w:numPr>
          <w:ilvl w:val="0"/>
          <w:numId w:val="34"/>
        </w:numPr>
        <w:jc w:val="both"/>
        <w:rPr>
          <w:rFonts w:cstheme="minorHAnsi"/>
          <w:sz w:val="20"/>
          <w:szCs w:val="20"/>
        </w:rPr>
      </w:pPr>
      <w:r w:rsidRPr="005E7D38">
        <w:rPr>
          <w:rFonts w:cstheme="minorHAnsi"/>
          <w:sz w:val="20"/>
          <w:szCs w:val="20"/>
        </w:rPr>
        <w:t xml:space="preserve">Automatycznie pobiera, sortuje i zapewni zdalny dostęp do </w:t>
      </w:r>
      <w:r>
        <w:rPr>
          <w:rFonts w:cstheme="minorHAnsi"/>
          <w:sz w:val="20"/>
          <w:szCs w:val="20"/>
        </w:rPr>
        <w:t>l</w:t>
      </w:r>
      <w:r w:rsidRPr="005E7D38">
        <w:rPr>
          <w:rFonts w:cstheme="minorHAnsi"/>
          <w:sz w:val="20"/>
          <w:szCs w:val="20"/>
        </w:rPr>
        <w:t>okalny serwer</w:t>
      </w:r>
      <w:r>
        <w:rPr>
          <w:rFonts w:cstheme="minorHAnsi"/>
          <w:sz w:val="20"/>
          <w:szCs w:val="20"/>
        </w:rPr>
        <w:t>a pracy grupowej</w:t>
      </w:r>
    </w:p>
    <w:p w14:paraId="337BADEF" w14:textId="33687D9D" w:rsidR="005E7D38" w:rsidRPr="005E7D38" w:rsidRDefault="005E7D38" w:rsidP="00EC170D">
      <w:pPr>
        <w:pStyle w:val="Default"/>
        <w:numPr>
          <w:ilvl w:val="0"/>
          <w:numId w:val="34"/>
        </w:numPr>
        <w:jc w:val="both"/>
        <w:rPr>
          <w:rFonts w:cstheme="minorHAnsi"/>
          <w:sz w:val="20"/>
          <w:szCs w:val="20"/>
        </w:rPr>
      </w:pPr>
      <w:r w:rsidRPr="005E7D38">
        <w:rPr>
          <w:rFonts w:cstheme="minorHAnsi"/>
          <w:sz w:val="20"/>
          <w:szCs w:val="20"/>
        </w:rPr>
        <w:t>Obsługa wielu metod synchronizacji w tym Catch-All oraz Indywidualne konta</w:t>
      </w:r>
    </w:p>
    <w:p w14:paraId="032E9F12" w14:textId="479A2BD3" w:rsidR="005E7D38" w:rsidRPr="005E7D38" w:rsidRDefault="005E7D38" w:rsidP="000729D7">
      <w:pPr>
        <w:pStyle w:val="Default"/>
        <w:numPr>
          <w:ilvl w:val="0"/>
          <w:numId w:val="34"/>
        </w:numPr>
        <w:jc w:val="both"/>
        <w:rPr>
          <w:rFonts w:cstheme="minorHAnsi"/>
          <w:sz w:val="20"/>
          <w:szCs w:val="20"/>
        </w:rPr>
      </w:pPr>
      <w:r w:rsidRPr="005E7D38">
        <w:rPr>
          <w:rFonts w:cstheme="minorHAnsi"/>
          <w:sz w:val="20"/>
          <w:szCs w:val="20"/>
        </w:rPr>
        <w:t xml:space="preserve">Sprawdzanie synchronizacji w czasie nie dłuższym niż </w:t>
      </w:r>
      <w:r>
        <w:rPr>
          <w:rFonts w:cstheme="minorHAnsi"/>
          <w:sz w:val="20"/>
          <w:szCs w:val="20"/>
        </w:rPr>
        <w:t>c</w:t>
      </w:r>
      <w:r w:rsidRPr="005E7D38">
        <w:rPr>
          <w:rFonts w:cstheme="minorHAnsi"/>
          <w:sz w:val="20"/>
          <w:szCs w:val="20"/>
        </w:rPr>
        <w:t>o 20 sekund</w:t>
      </w:r>
    </w:p>
    <w:p w14:paraId="2E993082" w14:textId="4B204015"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Elastyczny harmonogram</w:t>
      </w:r>
      <w:r>
        <w:rPr>
          <w:rFonts w:cstheme="minorHAnsi"/>
          <w:sz w:val="20"/>
          <w:szCs w:val="20"/>
        </w:rPr>
        <w:t xml:space="preserve"> synchronizacji</w:t>
      </w:r>
    </w:p>
    <w:p w14:paraId="45E6C332" w14:textId="7F611D6B"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lastRenderedPageBreak/>
        <w:t>Obsługa SSL</w:t>
      </w:r>
    </w:p>
    <w:p w14:paraId="40DB2916" w14:textId="14FE2D4F"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Uwierzytelnianie SMTP</w:t>
      </w:r>
    </w:p>
    <w:p w14:paraId="1C742E9B" w14:textId="5D64CFE3" w:rsidR="005E7D38" w:rsidRPr="005E7D38" w:rsidRDefault="005E7D38" w:rsidP="005E7D38">
      <w:pPr>
        <w:pStyle w:val="Default"/>
        <w:numPr>
          <w:ilvl w:val="0"/>
          <w:numId w:val="34"/>
        </w:numPr>
        <w:jc w:val="both"/>
        <w:rPr>
          <w:rFonts w:cstheme="minorHAnsi"/>
          <w:sz w:val="20"/>
          <w:szCs w:val="20"/>
        </w:rPr>
      </w:pPr>
      <w:r>
        <w:rPr>
          <w:rFonts w:cstheme="minorHAnsi"/>
          <w:sz w:val="20"/>
          <w:szCs w:val="20"/>
        </w:rPr>
        <w:t>R</w:t>
      </w:r>
      <w:r w:rsidRPr="005E7D38">
        <w:rPr>
          <w:rFonts w:cstheme="minorHAnsi"/>
          <w:sz w:val="20"/>
          <w:szCs w:val="20"/>
        </w:rPr>
        <w:t>eguły do ​​Streamline</w:t>
      </w:r>
    </w:p>
    <w:p w14:paraId="302C9F5D" w14:textId="77777777"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Przetwarzanie wiadomości e-mail</w:t>
      </w:r>
    </w:p>
    <w:p w14:paraId="3AEA8F52" w14:textId="2C8E7642"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Dostarczanie wiadomości po</w:t>
      </w:r>
      <w:r>
        <w:rPr>
          <w:rFonts w:cstheme="minorHAnsi"/>
          <w:sz w:val="20"/>
          <w:szCs w:val="20"/>
        </w:rPr>
        <w:t>wtórzonych</w:t>
      </w:r>
    </w:p>
    <w:p w14:paraId="53892324" w14:textId="318A90CF"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Równocze</w:t>
      </w:r>
      <w:r>
        <w:rPr>
          <w:rFonts w:cstheme="minorHAnsi"/>
          <w:sz w:val="20"/>
          <w:szCs w:val="20"/>
        </w:rPr>
        <w:t xml:space="preserve">sne pobieranie wiadomości </w:t>
      </w:r>
    </w:p>
    <w:p w14:paraId="0AE70DC4" w14:textId="1030B0F4"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Unika</w:t>
      </w:r>
      <w:r>
        <w:rPr>
          <w:rFonts w:cstheme="minorHAnsi"/>
          <w:sz w:val="20"/>
          <w:szCs w:val="20"/>
        </w:rPr>
        <w:t>nie</w:t>
      </w:r>
      <w:r w:rsidRPr="005E7D38">
        <w:rPr>
          <w:rFonts w:cstheme="minorHAnsi"/>
          <w:sz w:val="20"/>
          <w:szCs w:val="20"/>
        </w:rPr>
        <w:t xml:space="preserve"> wyzwalania filtru spamu</w:t>
      </w:r>
    </w:p>
    <w:p w14:paraId="42979349" w14:textId="77777777" w:rsidR="00211344" w:rsidRDefault="00211344" w:rsidP="00FA6323">
      <w:pPr>
        <w:jc w:val="both"/>
        <w:rPr>
          <w:rFonts w:cstheme="minorHAnsi"/>
          <w:lang w:eastAsia="pl-PL"/>
        </w:rPr>
      </w:pPr>
    </w:p>
    <w:p w14:paraId="30D20A50" w14:textId="58074E6E" w:rsidR="00C92071" w:rsidRDefault="003B746D" w:rsidP="00EF7320">
      <w:pPr>
        <w:spacing w:after="120"/>
        <w:jc w:val="both"/>
      </w:pPr>
      <w:r>
        <w:t xml:space="preserve">Oferta powinna być ważna nie krócej niż </w:t>
      </w:r>
      <w:r w:rsidR="00EF7320">
        <w:t>9</w:t>
      </w:r>
      <w:r>
        <w:t xml:space="preserve">0 dni od daty złożenia. </w:t>
      </w:r>
      <w:r w:rsidR="00FF6B1A">
        <w:t xml:space="preserve"> </w:t>
      </w:r>
    </w:p>
    <w:p w14:paraId="2B58A548" w14:textId="77777777" w:rsidR="008E1FC0" w:rsidRDefault="008E1FC0" w:rsidP="00EF7320">
      <w:pPr>
        <w:spacing w:after="120"/>
        <w:jc w:val="both"/>
      </w:pPr>
    </w:p>
    <w:p w14:paraId="04E26460" w14:textId="77777777" w:rsidR="00FF6B1A" w:rsidRPr="003B746D" w:rsidRDefault="00477E96" w:rsidP="00477E96">
      <w:pPr>
        <w:pStyle w:val="Akapitzlist"/>
        <w:numPr>
          <w:ilvl w:val="0"/>
          <w:numId w:val="1"/>
        </w:numPr>
        <w:rPr>
          <w:b/>
        </w:rPr>
      </w:pPr>
      <w:r w:rsidRPr="003B746D">
        <w:rPr>
          <w:b/>
        </w:rPr>
        <w:t>Kryteria oceny oferty wraz z określeniem wag punktowych/ procentowych przypisanych do każdego z kryteriów:</w:t>
      </w:r>
    </w:p>
    <w:p w14:paraId="7C316B06" w14:textId="77777777"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Zamawiający zastosuje następujące kryteria wyboru:</w:t>
      </w:r>
    </w:p>
    <w:p w14:paraId="0EE3AF35" w14:textId="067FB38E"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1. Cena netto – </w:t>
      </w:r>
      <w:r w:rsidR="006715A3">
        <w:rPr>
          <w:rFonts w:asciiTheme="minorHAnsi" w:hAnsiTheme="minorHAnsi" w:cstheme="minorHAnsi"/>
          <w:color w:val="auto"/>
          <w:sz w:val="22"/>
          <w:szCs w:val="22"/>
        </w:rPr>
        <w:t>8</w:t>
      </w:r>
      <w:r w:rsidRPr="004F56B0">
        <w:rPr>
          <w:rFonts w:asciiTheme="minorHAnsi" w:hAnsiTheme="minorHAnsi" w:cstheme="minorHAnsi"/>
          <w:color w:val="auto"/>
          <w:sz w:val="22"/>
          <w:szCs w:val="22"/>
        </w:rPr>
        <w:t>0%</w:t>
      </w:r>
    </w:p>
    <w:p w14:paraId="4FC538A1" w14:textId="6F47DAAA" w:rsidR="00477E96"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2. Termin realizacji zamówienia – </w:t>
      </w:r>
      <w:r w:rsidR="006715A3">
        <w:rPr>
          <w:rFonts w:asciiTheme="minorHAnsi" w:hAnsiTheme="minorHAnsi" w:cstheme="minorHAnsi"/>
          <w:color w:val="auto"/>
          <w:sz w:val="22"/>
          <w:szCs w:val="22"/>
        </w:rPr>
        <w:t>2</w:t>
      </w:r>
      <w:r w:rsidRPr="004F56B0">
        <w:rPr>
          <w:rFonts w:asciiTheme="minorHAnsi" w:hAnsiTheme="minorHAnsi" w:cstheme="minorHAnsi"/>
          <w:color w:val="auto"/>
          <w:sz w:val="22"/>
          <w:szCs w:val="22"/>
        </w:rPr>
        <w:t>0%.</w:t>
      </w:r>
    </w:p>
    <w:p w14:paraId="5C1A510D" w14:textId="77777777" w:rsidR="003B746D" w:rsidRDefault="003B746D" w:rsidP="00477E96">
      <w:pPr>
        <w:pStyle w:val="Default"/>
        <w:rPr>
          <w:rFonts w:asciiTheme="minorHAnsi" w:hAnsiTheme="minorHAnsi" w:cstheme="minorHAnsi"/>
          <w:color w:val="auto"/>
          <w:sz w:val="22"/>
          <w:szCs w:val="22"/>
        </w:rPr>
      </w:pPr>
    </w:p>
    <w:p w14:paraId="78A45462" w14:textId="77777777" w:rsidR="003B746D" w:rsidRPr="003B746D" w:rsidRDefault="003B746D" w:rsidP="003B746D">
      <w:pPr>
        <w:pStyle w:val="Default"/>
        <w:numPr>
          <w:ilvl w:val="0"/>
          <w:numId w:val="1"/>
        </w:numPr>
        <w:rPr>
          <w:rFonts w:asciiTheme="minorHAnsi" w:hAnsiTheme="minorHAnsi" w:cstheme="minorHAnsi"/>
          <w:b/>
          <w:color w:val="auto"/>
          <w:sz w:val="22"/>
          <w:szCs w:val="22"/>
        </w:rPr>
      </w:pPr>
      <w:r w:rsidRPr="003B746D">
        <w:rPr>
          <w:rFonts w:asciiTheme="minorHAnsi" w:hAnsiTheme="minorHAnsi" w:cstheme="minorHAnsi"/>
          <w:b/>
          <w:color w:val="auto"/>
          <w:sz w:val="22"/>
          <w:szCs w:val="22"/>
        </w:rPr>
        <w:t>Opis sposobu przyznawania punktacji za spełnienie danego kryterium oceny oferty:</w:t>
      </w:r>
    </w:p>
    <w:p w14:paraId="53462CAF" w14:textId="77777777" w:rsidR="003B746D" w:rsidRDefault="003B746D" w:rsidP="003B746D">
      <w:pPr>
        <w:pStyle w:val="Default"/>
        <w:rPr>
          <w:rFonts w:asciiTheme="minorHAnsi" w:hAnsiTheme="minorHAnsi" w:cstheme="minorHAnsi"/>
          <w:color w:val="auto"/>
          <w:sz w:val="22"/>
          <w:szCs w:val="22"/>
        </w:rPr>
      </w:pPr>
    </w:p>
    <w:p w14:paraId="462D23C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Wybór Oferenta dokonany zostanie na podstawie największej ilości uzyskanych punktów zgodnie z następującą metodologią:</w:t>
      </w:r>
    </w:p>
    <w:p w14:paraId="4CC30401" w14:textId="77777777" w:rsidR="003B746D" w:rsidRPr="004F56B0" w:rsidRDefault="003B746D" w:rsidP="003B746D">
      <w:pPr>
        <w:pStyle w:val="Default"/>
        <w:jc w:val="both"/>
        <w:rPr>
          <w:rFonts w:asciiTheme="minorHAnsi" w:hAnsiTheme="minorHAnsi" w:cstheme="minorHAnsi"/>
          <w:color w:val="auto"/>
          <w:sz w:val="22"/>
          <w:szCs w:val="22"/>
        </w:rPr>
      </w:pPr>
    </w:p>
    <w:p w14:paraId="707D6B5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„Cena netto” Zamawiający rozumie określoną przez Oferenta cenę całkowitą netto za wykonanie przedmiotu zamówienia. Ocena w ramach kryterium „Cena netto” (Kc) będzie obliczana na podstawie następującego wzoru:</w:t>
      </w:r>
    </w:p>
    <w:p w14:paraId="168C8FD3" w14:textId="77777777" w:rsidR="003B746D" w:rsidRPr="004F56B0" w:rsidRDefault="003B746D" w:rsidP="003B746D">
      <w:pPr>
        <w:pStyle w:val="Default"/>
        <w:jc w:val="both"/>
        <w:rPr>
          <w:rFonts w:asciiTheme="minorHAnsi" w:hAnsiTheme="minorHAnsi" w:cstheme="minorHAnsi"/>
          <w:color w:val="auto"/>
          <w:sz w:val="22"/>
          <w:szCs w:val="22"/>
        </w:rPr>
      </w:pPr>
    </w:p>
    <w:p w14:paraId="29765E9B" w14:textId="3D4A6776"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Kc = (Cn/Co) x </w:t>
      </w:r>
      <w:r w:rsidR="006715A3">
        <w:rPr>
          <w:rFonts w:asciiTheme="minorHAnsi" w:hAnsiTheme="minorHAnsi" w:cstheme="minorHAnsi"/>
          <w:color w:val="auto"/>
          <w:sz w:val="22"/>
          <w:szCs w:val="22"/>
        </w:rPr>
        <w:t>8</w:t>
      </w:r>
      <w:r w:rsidRPr="004F56B0">
        <w:rPr>
          <w:rFonts w:asciiTheme="minorHAnsi" w:hAnsiTheme="minorHAnsi" w:cstheme="minorHAnsi"/>
          <w:color w:val="auto"/>
          <w:sz w:val="22"/>
          <w:szCs w:val="22"/>
        </w:rPr>
        <w:t>0% x 100</w:t>
      </w:r>
    </w:p>
    <w:p w14:paraId="3D1828B1" w14:textId="77777777" w:rsidR="003B746D" w:rsidRPr="004F56B0" w:rsidRDefault="003B746D" w:rsidP="003B746D">
      <w:pPr>
        <w:pStyle w:val="Default"/>
        <w:jc w:val="both"/>
        <w:rPr>
          <w:rFonts w:asciiTheme="minorHAnsi" w:hAnsiTheme="minorHAnsi" w:cstheme="minorHAnsi"/>
          <w:color w:val="auto"/>
          <w:sz w:val="22"/>
          <w:szCs w:val="22"/>
        </w:rPr>
      </w:pPr>
    </w:p>
    <w:p w14:paraId="62DDD39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730BE22F"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Cn – najniższa zaproponowana cena netto</w:t>
      </w:r>
    </w:p>
    <w:p w14:paraId="29F10F1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Co – cena netto zaproponowana w badanej ofercie</w:t>
      </w:r>
    </w:p>
    <w:p w14:paraId="1FDD0CD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7E41ACDA" w14:textId="77777777" w:rsidR="003B746D" w:rsidRPr="004F56B0" w:rsidRDefault="003B746D" w:rsidP="003B746D">
      <w:pPr>
        <w:pStyle w:val="Default"/>
        <w:jc w:val="both"/>
        <w:rPr>
          <w:rFonts w:asciiTheme="minorHAnsi" w:hAnsiTheme="minorHAnsi" w:cstheme="minorHAnsi"/>
          <w:color w:val="auto"/>
          <w:sz w:val="22"/>
          <w:szCs w:val="22"/>
        </w:rPr>
      </w:pPr>
    </w:p>
    <w:p w14:paraId="38911BD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„Termin realizacji zamówienia” Zamawiający rozumie określony przez Oferenta termin realizacji przedmiotu zamówienia liczony w dniach kalendarzowych od momentu podpisania umowy pomiędzy Stronami. Ocena w ramach kryterium „Termin realizacji zamówienia” (Kt) będzie obliczana na podstawie następującego wzoru:</w:t>
      </w:r>
    </w:p>
    <w:p w14:paraId="31E699B8" w14:textId="652FC98D"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Kt = (Tn/To) x </w:t>
      </w:r>
      <w:r w:rsidR="006715A3">
        <w:rPr>
          <w:rFonts w:asciiTheme="minorHAnsi" w:hAnsiTheme="minorHAnsi" w:cstheme="minorHAnsi"/>
          <w:color w:val="auto"/>
          <w:sz w:val="22"/>
          <w:szCs w:val="22"/>
        </w:rPr>
        <w:t>2</w:t>
      </w:r>
      <w:r w:rsidRPr="004F56B0">
        <w:rPr>
          <w:rFonts w:asciiTheme="minorHAnsi" w:hAnsiTheme="minorHAnsi" w:cstheme="minorHAnsi"/>
          <w:color w:val="auto"/>
          <w:sz w:val="22"/>
          <w:szCs w:val="22"/>
        </w:rPr>
        <w:t>0% x 100</w:t>
      </w:r>
    </w:p>
    <w:p w14:paraId="76A3F6A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0B3ADB4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Tn – najkrótszy zaproponowany termin liczony </w:t>
      </w:r>
      <w:r w:rsidR="000F5C98">
        <w:rPr>
          <w:rFonts w:asciiTheme="minorHAnsi" w:hAnsiTheme="minorHAnsi" w:cstheme="minorHAnsi"/>
          <w:color w:val="auto"/>
          <w:sz w:val="22"/>
          <w:szCs w:val="22"/>
        </w:rPr>
        <w:t xml:space="preserve">w dniach kalendarzowych </w:t>
      </w:r>
      <w:r w:rsidRPr="004F56B0">
        <w:rPr>
          <w:rFonts w:asciiTheme="minorHAnsi" w:hAnsiTheme="minorHAnsi" w:cstheme="minorHAnsi"/>
          <w:color w:val="auto"/>
          <w:sz w:val="22"/>
          <w:szCs w:val="22"/>
        </w:rPr>
        <w:t>od momentu podpisania umowy</w:t>
      </w:r>
    </w:p>
    <w:p w14:paraId="6BFA446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To – termin zaproponowany w badanej ofercie liczony</w:t>
      </w:r>
      <w:r w:rsidR="000F5C98">
        <w:rPr>
          <w:rFonts w:asciiTheme="minorHAnsi" w:hAnsiTheme="minorHAnsi" w:cstheme="minorHAnsi"/>
          <w:color w:val="auto"/>
          <w:sz w:val="22"/>
          <w:szCs w:val="22"/>
        </w:rPr>
        <w:t xml:space="preserve"> w dniach kalendarzowych</w:t>
      </w:r>
      <w:r w:rsidRPr="004F56B0">
        <w:rPr>
          <w:rFonts w:asciiTheme="minorHAnsi" w:hAnsiTheme="minorHAnsi" w:cstheme="minorHAnsi"/>
          <w:color w:val="auto"/>
          <w:sz w:val="22"/>
          <w:szCs w:val="22"/>
        </w:rPr>
        <w:t xml:space="preserve"> od momentu podpisania umowy</w:t>
      </w:r>
    </w:p>
    <w:p w14:paraId="7B1FCE14"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Kt – liczba punktów przyznana danej ofercie w kryterium „Termin realizacji zamówienia”</w:t>
      </w:r>
    </w:p>
    <w:p w14:paraId="0A4ECD59" w14:textId="77777777" w:rsidR="008E1FC0" w:rsidRDefault="008E1FC0" w:rsidP="003B746D">
      <w:pPr>
        <w:pStyle w:val="Default"/>
        <w:jc w:val="both"/>
        <w:rPr>
          <w:rFonts w:asciiTheme="minorHAnsi" w:hAnsiTheme="minorHAnsi" w:cstheme="minorHAnsi"/>
          <w:b/>
          <w:color w:val="auto"/>
          <w:sz w:val="22"/>
          <w:szCs w:val="22"/>
        </w:rPr>
      </w:pPr>
    </w:p>
    <w:p w14:paraId="0E31D65F" w14:textId="31C92E91" w:rsidR="003B746D" w:rsidRPr="00EF7320" w:rsidRDefault="00EF7320" w:rsidP="003B746D">
      <w:pPr>
        <w:pStyle w:val="Default"/>
        <w:jc w:val="both"/>
        <w:rPr>
          <w:rFonts w:asciiTheme="minorHAnsi" w:hAnsiTheme="minorHAnsi" w:cstheme="minorHAnsi"/>
          <w:b/>
          <w:color w:val="auto"/>
          <w:sz w:val="22"/>
          <w:szCs w:val="22"/>
        </w:rPr>
      </w:pPr>
      <w:r w:rsidRPr="00945C78">
        <w:rPr>
          <w:rFonts w:asciiTheme="minorHAnsi" w:hAnsiTheme="minorHAnsi" w:cstheme="minorHAnsi"/>
          <w:b/>
          <w:color w:val="auto"/>
          <w:sz w:val="22"/>
          <w:szCs w:val="22"/>
        </w:rPr>
        <w:t xml:space="preserve">Maksymalny okres realizacji wynosi </w:t>
      </w:r>
      <w:r w:rsidR="006715A3">
        <w:rPr>
          <w:rFonts w:asciiTheme="minorHAnsi" w:hAnsiTheme="minorHAnsi" w:cstheme="minorHAnsi"/>
          <w:b/>
          <w:color w:val="auto"/>
          <w:sz w:val="22"/>
          <w:szCs w:val="22"/>
        </w:rPr>
        <w:t>6</w:t>
      </w:r>
      <w:r w:rsidRPr="00945C78">
        <w:rPr>
          <w:rFonts w:asciiTheme="minorHAnsi" w:hAnsiTheme="minorHAnsi" w:cstheme="minorHAnsi"/>
          <w:b/>
          <w:color w:val="auto"/>
          <w:sz w:val="22"/>
          <w:szCs w:val="22"/>
        </w:rPr>
        <w:t>0 dni</w:t>
      </w:r>
      <w:r w:rsidR="00652F8F" w:rsidRPr="00945C78">
        <w:rPr>
          <w:rFonts w:asciiTheme="minorHAnsi" w:hAnsiTheme="minorHAnsi" w:cstheme="minorHAnsi"/>
          <w:b/>
          <w:color w:val="auto"/>
          <w:sz w:val="22"/>
          <w:szCs w:val="22"/>
        </w:rPr>
        <w:t xml:space="preserve"> kalendarzowych</w:t>
      </w:r>
      <w:r w:rsidRPr="00945C78">
        <w:rPr>
          <w:rFonts w:asciiTheme="minorHAnsi" w:hAnsiTheme="minorHAnsi" w:cstheme="minorHAnsi"/>
          <w:b/>
          <w:color w:val="auto"/>
          <w:sz w:val="22"/>
          <w:szCs w:val="22"/>
        </w:rPr>
        <w:t>.</w:t>
      </w:r>
      <w:r w:rsidRPr="00EF7320">
        <w:rPr>
          <w:rFonts w:asciiTheme="minorHAnsi" w:hAnsiTheme="minorHAnsi" w:cstheme="minorHAnsi"/>
          <w:b/>
          <w:color w:val="auto"/>
          <w:sz w:val="22"/>
          <w:szCs w:val="22"/>
        </w:rPr>
        <w:t xml:space="preserve"> </w:t>
      </w:r>
    </w:p>
    <w:p w14:paraId="4C8A5D5F" w14:textId="77777777" w:rsidR="00EF7320" w:rsidRPr="004F56B0" w:rsidRDefault="00EF7320" w:rsidP="003B746D">
      <w:pPr>
        <w:pStyle w:val="Default"/>
        <w:jc w:val="both"/>
        <w:rPr>
          <w:rFonts w:asciiTheme="minorHAnsi" w:hAnsiTheme="minorHAnsi" w:cstheme="minorHAnsi"/>
          <w:color w:val="auto"/>
          <w:sz w:val="22"/>
          <w:szCs w:val="22"/>
        </w:rPr>
      </w:pPr>
    </w:p>
    <w:p w14:paraId="28F9ACC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Spośród ważnych ofert, Zamawiający uzna za najkorzystniejszą i wybierze ofertę, która spełni wszystkie wymagania określone w szczegółowym opisie przedmiotu zamówienia oraz uzyskała największą liczbę punktów w ocenie końcowej.</w:t>
      </w:r>
    </w:p>
    <w:p w14:paraId="0D6696A8" w14:textId="77777777" w:rsidR="003B746D" w:rsidRPr="004F56B0" w:rsidRDefault="003B746D" w:rsidP="003B746D">
      <w:pPr>
        <w:pStyle w:val="Default"/>
        <w:jc w:val="both"/>
        <w:rPr>
          <w:rFonts w:asciiTheme="minorHAnsi" w:hAnsiTheme="minorHAnsi" w:cstheme="minorHAnsi"/>
          <w:color w:val="auto"/>
          <w:sz w:val="22"/>
          <w:szCs w:val="22"/>
        </w:rPr>
      </w:pPr>
    </w:p>
    <w:p w14:paraId="33AE534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lastRenderedPageBreak/>
        <w:t>K = Kc + Kt</w:t>
      </w:r>
    </w:p>
    <w:p w14:paraId="41BD464C" w14:textId="77777777" w:rsidR="003B746D" w:rsidRPr="004F56B0" w:rsidRDefault="003B746D" w:rsidP="003B746D">
      <w:pPr>
        <w:pStyle w:val="Default"/>
        <w:jc w:val="both"/>
        <w:rPr>
          <w:rFonts w:asciiTheme="minorHAnsi" w:hAnsiTheme="minorHAnsi" w:cstheme="minorHAnsi"/>
          <w:color w:val="auto"/>
          <w:sz w:val="22"/>
          <w:szCs w:val="22"/>
        </w:rPr>
      </w:pPr>
    </w:p>
    <w:p w14:paraId="153EAF5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20D9A5B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liczba punktów w ocenie końcowej</w:t>
      </w:r>
    </w:p>
    <w:p w14:paraId="58B7937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15A1B76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Kt – liczba punktów przyznana danej ofercie w kryterium „Termin realizacji zamówienia”</w:t>
      </w:r>
    </w:p>
    <w:p w14:paraId="78054BC5" w14:textId="77777777" w:rsidR="003B746D" w:rsidRPr="004F56B0" w:rsidRDefault="003B746D" w:rsidP="003B746D">
      <w:pPr>
        <w:pStyle w:val="Default"/>
        <w:jc w:val="both"/>
        <w:rPr>
          <w:rFonts w:asciiTheme="minorHAnsi" w:hAnsiTheme="minorHAnsi" w:cstheme="minorHAnsi"/>
          <w:bCs/>
          <w:color w:val="auto"/>
          <w:sz w:val="22"/>
          <w:szCs w:val="22"/>
        </w:rPr>
      </w:pPr>
      <w:r w:rsidRPr="004F56B0">
        <w:rPr>
          <w:rFonts w:asciiTheme="minorHAnsi" w:hAnsiTheme="minorHAnsi" w:cstheme="minorHAnsi"/>
          <w:color w:val="auto"/>
          <w:sz w:val="22"/>
          <w:szCs w:val="22"/>
        </w:rPr>
        <w:t>Wartości punktowe w poszczególnych kryteriach zostaną podane z dokładnością do dwóch miejsc po przecinku, a zaokrąglenie zostanie dokonane zgodnie z ogólnie przyjętymi zasadami matematycznymi.</w:t>
      </w:r>
    </w:p>
    <w:p w14:paraId="7E38B99A" w14:textId="77777777" w:rsidR="003B746D" w:rsidRPr="003B746D" w:rsidRDefault="003B746D" w:rsidP="003B746D">
      <w:pPr>
        <w:pStyle w:val="Default"/>
        <w:rPr>
          <w:rFonts w:asciiTheme="minorHAnsi" w:hAnsiTheme="minorHAnsi" w:cstheme="minorHAnsi"/>
          <w:color w:val="auto"/>
          <w:sz w:val="22"/>
          <w:szCs w:val="22"/>
        </w:rPr>
      </w:pPr>
    </w:p>
    <w:p w14:paraId="61353EA8" w14:textId="77777777" w:rsidR="003B746D" w:rsidRPr="00A91D6B" w:rsidRDefault="003B746D" w:rsidP="003B746D">
      <w:pPr>
        <w:pStyle w:val="Default"/>
        <w:numPr>
          <w:ilvl w:val="0"/>
          <w:numId w:val="1"/>
        </w:numPr>
        <w:spacing w:after="120"/>
        <w:rPr>
          <w:rFonts w:asciiTheme="minorHAnsi" w:hAnsiTheme="minorHAnsi" w:cstheme="minorHAnsi"/>
          <w:sz w:val="22"/>
          <w:szCs w:val="22"/>
        </w:rPr>
      </w:pPr>
      <w:r w:rsidRPr="00A91D6B">
        <w:rPr>
          <w:rFonts w:asciiTheme="minorHAnsi" w:hAnsiTheme="minorHAnsi" w:cstheme="minorHAnsi"/>
          <w:b/>
          <w:bCs/>
          <w:color w:val="auto"/>
          <w:sz w:val="22"/>
          <w:szCs w:val="22"/>
        </w:rPr>
        <w:t>Termin składania ofert</w:t>
      </w:r>
    </w:p>
    <w:p w14:paraId="52B19AA8" w14:textId="72262A60" w:rsidR="003B746D" w:rsidRPr="004F56B0" w:rsidRDefault="003B746D" w:rsidP="007C34AC">
      <w:pPr>
        <w:rPr>
          <w:rFonts w:cstheme="minorHAnsi"/>
        </w:rPr>
      </w:pPr>
      <w:r w:rsidRPr="004F56B0">
        <w:rPr>
          <w:rFonts w:cstheme="minorHAnsi"/>
        </w:rPr>
        <w:t>1. Oferty stanowiące odpowiedź na zapytanie należy składać pisemnie, tj. osobiście lub drogą pocztową na adres</w:t>
      </w:r>
      <w:r w:rsidR="005E7D38">
        <w:rPr>
          <w:rFonts w:cstheme="minorHAnsi"/>
        </w:rPr>
        <w:t xml:space="preserve"> </w:t>
      </w:r>
      <w:r w:rsidR="007C34AC" w:rsidRPr="007C34AC">
        <w:rPr>
          <w:rFonts w:cstheme="minorHAnsi"/>
        </w:rPr>
        <w:t>Tomas Consulting S.A.</w:t>
      </w:r>
      <w:r w:rsidR="007C34AC">
        <w:rPr>
          <w:rFonts w:cstheme="minorHAnsi"/>
        </w:rPr>
        <w:t xml:space="preserve">, </w:t>
      </w:r>
      <w:r w:rsidR="007C34AC" w:rsidRPr="007C34AC">
        <w:rPr>
          <w:rFonts w:cstheme="minorHAnsi"/>
        </w:rPr>
        <w:t>ul. Lniana 41</w:t>
      </w:r>
      <w:r w:rsidR="007C34AC">
        <w:rPr>
          <w:rFonts w:cstheme="minorHAnsi"/>
        </w:rPr>
        <w:t xml:space="preserve">, </w:t>
      </w:r>
      <w:r w:rsidR="007C34AC" w:rsidRPr="007C34AC">
        <w:rPr>
          <w:rFonts w:cstheme="minorHAnsi"/>
        </w:rPr>
        <w:t>15-665 Białystok</w:t>
      </w:r>
      <w:r w:rsidR="006715A3">
        <w:rPr>
          <w:rFonts w:cstheme="minorHAnsi"/>
        </w:rPr>
        <w:t xml:space="preserve"> </w:t>
      </w:r>
      <w:r w:rsidR="007C34AC">
        <w:rPr>
          <w:rFonts w:cstheme="minorHAnsi"/>
        </w:rPr>
        <w:t xml:space="preserve">lub w formie elektronicznej na adres e-mail </w:t>
      </w:r>
      <w:hyperlink r:id="rId8" w:history="1">
        <w:r w:rsidR="007C34AC" w:rsidRPr="00175A64">
          <w:rPr>
            <w:rStyle w:val="Hipercze"/>
            <w:rFonts w:cstheme="minorHAnsi"/>
          </w:rPr>
          <w:t>k.paszko@tomasconsulting.com</w:t>
        </w:r>
      </w:hyperlink>
      <w:r w:rsidR="007C34AC">
        <w:rPr>
          <w:rFonts w:cstheme="minorHAnsi"/>
        </w:rPr>
        <w:t xml:space="preserve">. </w:t>
      </w:r>
    </w:p>
    <w:p w14:paraId="028700E4" w14:textId="18B17254" w:rsidR="003B746D" w:rsidRPr="004F56B0" w:rsidRDefault="003B746D" w:rsidP="00E603C3">
      <w:pPr>
        <w:pStyle w:val="Default"/>
        <w:jc w:val="both"/>
        <w:rPr>
          <w:rFonts w:asciiTheme="minorHAnsi" w:hAnsiTheme="minorHAnsi" w:cstheme="minorHAnsi"/>
          <w:color w:val="auto"/>
          <w:sz w:val="22"/>
          <w:szCs w:val="22"/>
        </w:rPr>
      </w:pPr>
      <w:r w:rsidRPr="00945C78">
        <w:rPr>
          <w:rFonts w:asciiTheme="minorHAnsi" w:hAnsiTheme="minorHAnsi" w:cstheme="minorHAnsi"/>
          <w:color w:val="auto"/>
          <w:sz w:val="22"/>
          <w:szCs w:val="22"/>
        </w:rPr>
        <w:t xml:space="preserve">2. Ostateczny termin składania ofert upływa dnia: </w:t>
      </w:r>
      <w:r w:rsidR="00265B5C">
        <w:rPr>
          <w:rFonts w:asciiTheme="minorHAnsi" w:hAnsiTheme="minorHAnsi" w:cstheme="minorHAnsi"/>
          <w:color w:val="auto"/>
          <w:sz w:val="22"/>
          <w:szCs w:val="22"/>
        </w:rPr>
        <w:t>12.07.2019 r.</w:t>
      </w:r>
    </w:p>
    <w:p w14:paraId="1039E6D9" w14:textId="07100CD5"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3. W przypadku ofert, które będą dostarczane drogą pocztową liczy się data wpływu oferty do biura Zamawiającego na adres: </w:t>
      </w:r>
      <w:r w:rsidR="00265B5C" w:rsidRPr="00265B5C">
        <w:rPr>
          <w:rFonts w:asciiTheme="minorHAnsi" w:hAnsiTheme="minorHAnsi" w:cstheme="minorHAnsi"/>
          <w:color w:val="auto"/>
          <w:sz w:val="22"/>
          <w:szCs w:val="22"/>
        </w:rPr>
        <w:t>Tomas Consulting S.A., ul. Lniana 41, 15-665 Białystok</w:t>
      </w:r>
      <w:r w:rsidR="00265B5C">
        <w:rPr>
          <w:rFonts w:asciiTheme="minorHAnsi" w:hAnsiTheme="minorHAnsi" w:cstheme="minorHAnsi"/>
          <w:color w:val="auto"/>
          <w:sz w:val="22"/>
          <w:szCs w:val="22"/>
        </w:rPr>
        <w:t xml:space="preserve">. </w:t>
      </w:r>
    </w:p>
    <w:p w14:paraId="1859D945"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4. Oferta powinna być sporządzona w jednym egzemplarzu na formularzu stanowiącym załącznik nr 1 do niniejszego zapytania ofertowego i zgodna </w:t>
      </w:r>
      <w:r w:rsidR="000F5C98">
        <w:rPr>
          <w:rFonts w:asciiTheme="minorHAnsi" w:hAnsiTheme="minorHAnsi" w:cstheme="minorHAnsi"/>
          <w:color w:val="auto"/>
          <w:sz w:val="22"/>
          <w:szCs w:val="22"/>
        </w:rPr>
        <w:t>z</w:t>
      </w:r>
      <w:r w:rsidRPr="004F56B0">
        <w:rPr>
          <w:rFonts w:asciiTheme="minorHAnsi" w:hAnsiTheme="minorHAnsi" w:cstheme="minorHAnsi"/>
          <w:color w:val="auto"/>
          <w:sz w:val="22"/>
          <w:szCs w:val="22"/>
        </w:rPr>
        <w:t xml:space="preserve"> opisem przedmiotu zamówienia.</w:t>
      </w:r>
    </w:p>
    <w:p w14:paraId="49F0ECA8"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5. Oferta i załączniki powinny być podpisane i opieczętowane przez osobę upoważnioną do reprezentacji Oferenta zgodnie z formą reprezentacji określoną w rejestrze sądowym lub innym dokumencie, właściwym dla danej formy organizacyjnej Oferenta albo przez osobę umocowaną przez osobę uprawnioną, przy czym pełnomocnictwo musi być załączone do oferty.</w:t>
      </w:r>
    </w:p>
    <w:p w14:paraId="3AB3B289"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6. Oferent poniesie wszystkie koszty związane z przygotowaniem i złożeniem oferty.</w:t>
      </w:r>
    </w:p>
    <w:p w14:paraId="1AD512E1" w14:textId="77777777" w:rsidR="003B746D"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7. Oferent może złożyć tylko jedną ofertę w odpowiedzi na niniejsze zapytanie ofertowe.</w:t>
      </w:r>
    </w:p>
    <w:p w14:paraId="7B4204CC" w14:textId="77777777" w:rsidR="00E603C3" w:rsidRPr="004F56B0" w:rsidRDefault="00E603C3" w:rsidP="00E603C3">
      <w:pPr>
        <w:pStyle w:val="Default"/>
        <w:jc w:val="both"/>
        <w:rPr>
          <w:rFonts w:asciiTheme="minorHAnsi" w:hAnsiTheme="minorHAnsi" w:cstheme="minorHAnsi"/>
          <w:color w:val="auto"/>
          <w:sz w:val="22"/>
          <w:szCs w:val="22"/>
        </w:rPr>
      </w:pPr>
    </w:p>
    <w:p w14:paraId="2EBEF5C1" w14:textId="77777777" w:rsidR="00477E96" w:rsidRPr="00886DC0" w:rsidRDefault="00886DC0" w:rsidP="003B746D">
      <w:pPr>
        <w:pStyle w:val="Akapitzlist"/>
        <w:numPr>
          <w:ilvl w:val="0"/>
          <w:numId w:val="1"/>
        </w:numPr>
        <w:rPr>
          <w:b/>
        </w:rPr>
      </w:pPr>
      <w:r w:rsidRPr="00886DC0">
        <w:rPr>
          <w:b/>
        </w:rPr>
        <w:t>Informacja na temat zakazu powiązań osobowych lub kapitałowych:</w:t>
      </w:r>
    </w:p>
    <w:p w14:paraId="6EE6B976" w14:textId="77777777" w:rsidR="00886DC0" w:rsidRDefault="00886DC0" w:rsidP="00E603C3">
      <w:pPr>
        <w:spacing w:after="0"/>
        <w:jc w:val="both"/>
      </w:pPr>
      <w:r>
        <w:t>W postępowaniu ofertowym nie mogą brać udziału podmioty powiązane osobowo bądź kapitałowo z Zamawiającym.</w:t>
      </w:r>
    </w:p>
    <w:p w14:paraId="61BDAC1C" w14:textId="7665D12D" w:rsidR="00A91D6B" w:rsidRDefault="00A91D6B" w:rsidP="00A91D6B">
      <w:pPr>
        <w:spacing w:after="0"/>
        <w:jc w:val="both"/>
      </w:pPr>
      <w:r>
        <w:t>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 polegające w szczególności na:</w:t>
      </w:r>
    </w:p>
    <w:p w14:paraId="44808790" w14:textId="77777777" w:rsidR="00A91D6B" w:rsidRDefault="00A91D6B" w:rsidP="00A91D6B">
      <w:pPr>
        <w:spacing w:after="0"/>
        <w:jc w:val="both"/>
      </w:pPr>
      <w:r>
        <w:t>1) uczestniczeniu w spółce jako wspólnik spółki cywilnej lub spółki osobowej,</w:t>
      </w:r>
    </w:p>
    <w:p w14:paraId="76C012E2" w14:textId="70A327D3" w:rsidR="00A91D6B" w:rsidRDefault="00A91D6B" w:rsidP="00A91D6B">
      <w:pPr>
        <w:spacing w:after="0"/>
        <w:jc w:val="both"/>
      </w:pPr>
      <w:r>
        <w:t>2) posiadaniu co najmniej 10 % udziałów lub akcji, o ile niższy próg nie wynika z przepisów prawa lub nie został określony przez IZ PO,</w:t>
      </w:r>
    </w:p>
    <w:p w14:paraId="66178215" w14:textId="15F5514F" w:rsidR="00A91D6B" w:rsidRDefault="00A91D6B" w:rsidP="00A91D6B">
      <w:pPr>
        <w:spacing w:after="0"/>
        <w:jc w:val="both"/>
      </w:pPr>
      <w:r>
        <w:t>3) pełnieniu funkcji członka organu nadzorczego lub zarządzającego, prokurenta, pełnomocnika,</w:t>
      </w:r>
    </w:p>
    <w:p w14:paraId="08A91B3A" w14:textId="41CEC052" w:rsidR="000F5C98" w:rsidRDefault="00A91D6B" w:rsidP="00E603C3">
      <w:pPr>
        <w:spacing w:after="0"/>
        <w:jc w:val="both"/>
      </w:pPr>
      <w:r>
        <w:t>4) pozostawaniu w związku małżeńskim, w stosunku pokrewieństwa lub powinowactwa w linii prostej, pokrewieństwa drugiego stopnia lub powinowactwa drugiego stopnia w linii bocznej lub w stosunku przysposobienia, opieki lub kurateli.</w:t>
      </w:r>
      <w:r>
        <w:cr/>
      </w:r>
    </w:p>
    <w:p w14:paraId="5A863318" w14:textId="77777777" w:rsidR="00886DC0" w:rsidRPr="00E603C3" w:rsidRDefault="00E603C3" w:rsidP="00886DC0">
      <w:pPr>
        <w:pStyle w:val="Akapitzlist"/>
        <w:numPr>
          <w:ilvl w:val="0"/>
          <w:numId w:val="1"/>
        </w:numPr>
        <w:rPr>
          <w:b/>
        </w:rPr>
      </w:pPr>
      <w:r w:rsidRPr="00E603C3">
        <w:rPr>
          <w:b/>
        </w:rPr>
        <w:t>Informacja na temat wymagań dla oferentów</w:t>
      </w:r>
    </w:p>
    <w:p w14:paraId="6963144E" w14:textId="77777777" w:rsidR="00E603C3" w:rsidRDefault="00E603C3" w:rsidP="00E603C3">
      <w:pPr>
        <w:jc w:val="both"/>
      </w:pPr>
      <w:r w:rsidRPr="00E603C3">
        <w:t>Oferent zobowiązany jest do złożenia wraz z ofertą oświadczeni</w:t>
      </w:r>
      <w:r w:rsidR="00C41C02">
        <w:t>a</w:t>
      </w:r>
      <w:r w:rsidRPr="00E603C3">
        <w:t>, iż prowadzi działalność gospodarczą bądź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p>
    <w:p w14:paraId="190EE674" w14:textId="77777777" w:rsidR="00E603C3" w:rsidRDefault="00E603C3" w:rsidP="00E603C3">
      <w:pPr>
        <w:pStyle w:val="Akapitzlist"/>
        <w:numPr>
          <w:ilvl w:val="0"/>
          <w:numId w:val="1"/>
        </w:numPr>
        <w:jc w:val="both"/>
        <w:rPr>
          <w:b/>
        </w:rPr>
      </w:pPr>
      <w:r w:rsidRPr="00E603C3">
        <w:rPr>
          <w:b/>
        </w:rPr>
        <w:t>Dodatkowe informacje i wymagania zamawiającego</w:t>
      </w:r>
    </w:p>
    <w:p w14:paraId="0B176EC5" w14:textId="1D014034"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Nie dopuszcza się składania ofert częściowych lub wariantowych.</w:t>
      </w:r>
    </w:p>
    <w:p w14:paraId="5408CD0D" w14:textId="7E5D7DE8"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rozstrzygnięciu postępowania jego wyniki zostaną upublicznione. </w:t>
      </w:r>
    </w:p>
    <w:p w14:paraId="6BABBC1E" w14:textId="055E3B59" w:rsidR="00E603C3" w:rsidRPr="004F56B0"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Po dokonaniu wyboru oferty Zamawiający poinformuje Oferenta, którego ofertę wybrano o terminie podpisania umowy/złożenia zamówienia.</w:t>
      </w:r>
    </w:p>
    <w:p w14:paraId="365CABC8" w14:textId="41CC2EF7" w:rsidR="000F5C98"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Jeżeli Oferent, którego oferta została wybrana, uchyli się od zawarcia umowy, Zamawiający może wybrać ofertę najkorzystniejszą spośród pozostałych ofert, bez przeprowadzania ich ponownej oceny.</w:t>
      </w:r>
    </w:p>
    <w:p w14:paraId="1C36EC41" w14:textId="5132936B" w:rsidR="000F5C98" w:rsidRDefault="000F5C98" w:rsidP="00A91D6B">
      <w:pPr>
        <w:pStyle w:val="Default"/>
        <w:numPr>
          <w:ilvl w:val="0"/>
          <w:numId w:val="15"/>
        </w:numPr>
        <w:ind w:left="567" w:hanging="567"/>
        <w:jc w:val="both"/>
        <w:rPr>
          <w:rFonts w:asciiTheme="minorHAnsi" w:hAnsiTheme="minorHAnsi" w:cstheme="minorHAnsi"/>
          <w:color w:val="auto"/>
          <w:sz w:val="22"/>
          <w:szCs w:val="22"/>
        </w:rPr>
      </w:pPr>
      <w:r w:rsidRPr="000F5C98">
        <w:rPr>
          <w:rFonts w:asciiTheme="minorHAnsi" w:hAnsiTheme="minorHAnsi" w:cstheme="minorHAnsi"/>
          <w:color w:val="auto"/>
          <w:sz w:val="22"/>
          <w:szCs w:val="22"/>
        </w:rPr>
        <w:t xml:space="preserve">Zamawiający może </w:t>
      </w:r>
      <w:bookmarkStart w:id="0" w:name="_Hlk505343955"/>
      <w:r w:rsidRPr="000F5C98">
        <w:rPr>
          <w:rFonts w:asciiTheme="minorHAnsi" w:hAnsiTheme="minorHAnsi" w:cstheme="minorHAnsi"/>
          <w:color w:val="auto"/>
          <w:sz w:val="22"/>
          <w:szCs w:val="22"/>
        </w:rPr>
        <w:t>odstąpić lub unieważnić postępowanie w każdej chwili bez podania przyczyny</w:t>
      </w:r>
      <w:bookmarkEnd w:id="0"/>
      <w:r w:rsidRPr="000F5C98">
        <w:rPr>
          <w:rFonts w:asciiTheme="minorHAnsi" w:hAnsiTheme="minorHAnsi" w:cstheme="minorHAnsi"/>
          <w:color w:val="auto"/>
          <w:sz w:val="22"/>
          <w:szCs w:val="22"/>
        </w:rPr>
        <w:t>.</w:t>
      </w:r>
    </w:p>
    <w:p w14:paraId="02122FDE" w14:textId="77777777" w:rsidR="00E603C3" w:rsidRDefault="00E603C3" w:rsidP="00E603C3">
      <w:pPr>
        <w:pStyle w:val="Default"/>
        <w:jc w:val="both"/>
        <w:rPr>
          <w:rFonts w:asciiTheme="minorHAnsi" w:hAnsiTheme="minorHAnsi" w:cstheme="minorHAnsi"/>
          <w:color w:val="auto"/>
          <w:sz w:val="22"/>
          <w:szCs w:val="22"/>
        </w:rPr>
      </w:pPr>
    </w:p>
    <w:p w14:paraId="7B02B76B" w14:textId="39C604FA" w:rsidR="00C86323" w:rsidRDefault="00C86323" w:rsidP="00C86323">
      <w:pPr>
        <w:pStyle w:val="Default"/>
        <w:numPr>
          <w:ilvl w:val="0"/>
          <w:numId w:val="1"/>
        </w:numPr>
        <w:jc w:val="both"/>
        <w:rPr>
          <w:rFonts w:asciiTheme="minorHAnsi" w:hAnsiTheme="minorHAnsi" w:cstheme="minorHAnsi"/>
          <w:b/>
          <w:sz w:val="22"/>
          <w:szCs w:val="22"/>
        </w:rPr>
      </w:pPr>
      <w:r w:rsidRPr="00C86323">
        <w:rPr>
          <w:rFonts w:asciiTheme="minorHAnsi" w:hAnsiTheme="minorHAnsi" w:cstheme="minorHAnsi"/>
          <w:b/>
          <w:sz w:val="22"/>
          <w:szCs w:val="22"/>
        </w:rPr>
        <w:t>Warunki istotnych zmian umowy zawartej w wyniku przeprowadzonego postępowania o udzielenie zamówienia</w:t>
      </w:r>
      <w:r>
        <w:rPr>
          <w:rFonts w:asciiTheme="minorHAnsi" w:hAnsiTheme="minorHAnsi" w:cstheme="minorHAnsi"/>
          <w:b/>
          <w:sz w:val="22"/>
          <w:szCs w:val="22"/>
        </w:rPr>
        <w:t>.</w:t>
      </w:r>
    </w:p>
    <w:p w14:paraId="748F33AF" w14:textId="34BEAB20" w:rsidR="00C86323" w:rsidRDefault="00C86323" w:rsidP="00C86323">
      <w:pPr>
        <w:pStyle w:val="Default"/>
        <w:jc w:val="both"/>
        <w:rPr>
          <w:rFonts w:asciiTheme="minorHAnsi" w:hAnsiTheme="minorHAnsi" w:cstheme="minorHAnsi"/>
          <w:b/>
          <w:sz w:val="22"/>
          <w:szCs w:val="22"/>
        </w:rPr>
      </w:pPr>
    </w:p>
    <w:p w14:paraId="710E5FAC" w14:textId="77777777" w:rsidR="006D0B2D" w:rsidRDefault="006D0B2D" w:rsidP="006D0B2D">
      <w:pPr>
        <w:pStyle w:val="Default"/>
        <w:jc w:val="both"/>
        <w:rPr>
          <w:sz w:val="22"/>
          <w:szCs w:val="22"/>
        </w:rPr>
      </w:pPr>
      <w:r>
        <w:rPr>
          <w:sz w:val="22"/>
          <w:szCs w:val="22"/>
        </w:rPr>
        <w:t>1. Udzielenia zamówienia wymaga podpisania umowy pomiędzy Zamawiającym, a Wykonawcą.</w:t>
      </w:r>
    </w:p>
    <w:p w14:paraId="6162B357" w14:textId="4F7938C1" w:rsidR="00C86323" w:rsidRPr="006715A3" w:rsidRDefault="006D0B2D" w:rsidP="006D0B2D">
      <w:pPr>
        <w:pStyle w:val="Default"/>
        <w:jc w:val="both"/>
        <w:rPr>
          <w:rFonts w:asciiTheme="minorHAnsi" w:hAnsiTheme="minorHAnsi" w:cstheme="minorHAnsi"/>
          <w:sz w:val="20"/>
          <w:szCs w:val="22"/>
        </w:rPr>
      </w:pPr>
      <w:r w:rsidRPr="006715A3">
        <w:rPr>
          <w:sz w:val="22"/>
        </w:rPr>
        <w:t>2. Nie przewiduje się możliwości wydłużenia terminu realizacji umowy.</w:t>
      </w:r>
    </w:p>
    <w:p w14:paraId="6DBFC5A6" w14:textId="77777777" w:rsidR="006D0B2D" w:rsidRDefault="006D0B2D" w:rsidP="00C86323">
      <w:pPr>
        <w:pStyle w:val="Default"/>
        <w:jc w:val="both"/>
        <w:rPr>
          <w:rFonts w:asciiTheme="minorHAnsi" w:hAnsiTheme="minorHAnsi" w:cstheme="minorHAnsi"/>
          <w:b/>
          <w:sz w:val="22"/>
          <w:szCs w:val="22"/>
        </w:rPr>
      </w:pPr>
    </w:p>
    <w:p w14:paraId="4116C0B5" w14:textId="13FE163F" w:rsidR="00C86323" w:rsidRDefault="00C86323" w:rsidP="00E603C3">
      <w:pPr>
        <w:pStyle w:val="Default"/>
        <w:numPr>
          <w:ilvl w:val="0"/>
          <w:numId w:val="1"/>
        </w:numPr>
        <w:jc w:val="both"/>
        <w:rPr>
          <w:rFonts w:asciiTheme="minorHAnsi" w:hAnsiTheme="minorHAnsi" w:cstheme="minorHAnsi"/>
          <w:b/>
          <w:sz w:val="22"/>
          <w:szCs w:val="22"/>
        </w:rPr>
      </w:pPr>
      <w:r>
        <w:rPr>
          <w:rFonts w:asciiTheme="minorHAnsi" w:hAnsiTheme="minorHAnsi" w:cstheme="minorHAnsi"/>
          <w:b/>
          <w:sz w:val="22"/>
          <w:szCs w:val="22"/>
        </w:rPr>
        <w:t>Dane osoby upoważnionej do kontaktów w sprawie zamówienia</w:t>
      </w:r>
    </w:p>
    <w:p w14:paraId="55E0D697" w14:textId="2D953566" w:rsidR="00C86323" w:rsidRDefault="00C86323" w:rsidP="00C86323">
      <w:pPr>
        <w:pStyle w:val="Default"/>
        <w:jc w:val="both"/>
        <w:rPr>
          <w:rFonts w:asciiTheme="minorHAnsi" w:hAnsiTheme="minorHAnsi" w:cstheme="minorHAnsi"/>
          <w:b/>
          <w:sz w:val="22"/>
          <w:szCs w:val="22"/>
        </w:rPr>
      </w:pPr>
    </w:p>
    <w:p w14:paraId="5E7A800A" w14:textId="304BDCB7" w:rsidR="008E1FC0" w:rsidRPr="004F56B0" w:rsidRDefault="00265B5C" w:rsidP="008E1FC0">
      <w:pPr>
        <w:rPr>
          <w:rFonts w:cstheme="minorHAnsi"/>
        </w:rPr>
      </w:pPr>
      <w:r>
        <w:rPr>
          <w:rFonts w:cstheme="minorHAnsi"/>
        </w:rPr>
        <w:t xml:space="preserve">Krzysztof Paszko, tel. 501-543-524, mail: </w:t>
      </w:r>
      <w:hyperlink r:id="rId9" w:history="1">
        <w:r w:rsidRPr="00175A64">
          <w:rPr>
            <w:rStyle w:val="Hipercze"/>
            <w:rFonts w:cstheme="minorHAnsi"/>
          </w:rPr>
          <w:t>k.paszko@tomasconsulting.com</w:t>
        </w:r>
      </w:hyperlink>
      <w:r>
        <w:rPr>
          <w:rFonts w:cstheme="minorHAnsi"/>
        </w:rPr>
        <w:t xml:space="preserve"> </w:t>
      </w:r>
    </w:p>
    <w:p w14:paraId="502E5C07" w14:textId="3C8603E5" w:rsidR="00C86323" w:rsidRPr="00C86323" w:rsidRDefault="00C86323" w:rsidP="00C86323">
      <w:pPr>
        <w:pStyle w:val="Default"/>
        <w:jc w:val="both"/>
        <w:rPr>
          <w:rFonts w:asciiTheme="minorHAnsi" w:hAnsiTheme="minorHAnsi" w:cstheme="minorHAnsi"/>
          <w:sz w:val="22"/>
          <w:szCs w:val="22"/>
        </w:rPr>
      </w:pPr>
    </w:p>
    <w:p w14:paraId="4FFA9E28" w14:textId="77777777" w:rsidR="00C86323" w:rsidRDefault="00C86323" w:rsidP="00C86323">
      <w:pPr>
        <w:pStyle w:val="Default"/>
        <w:jc w:val="both"/>
        <w:rPr>
          <w:rFonts w:asciiTheme="minorHAnsi" w:hAnsiTheme="minorHAnsi" w:cstheme="minorHAnsi"/>
          <w:b/>
          <w:sz w:val="22"/>
          <w:szCs w:val="22"/>
        </w:rPr>
      </w:pPr>
    </w:p>
    <w:p w14:paraId="273A2482" w14:textId="77777777" w:rsidR="007B62CB" w:rsidRDefault="007B62CB" w:rsidP="007B62CB">
      <w:pPr>
        <w:pStyle w:val="Default"/>
        <w:ind w:left="360"/>
        <w:jc w:val="both"/>
        <w:rPr>
          <w:rFonts w:asciiTheme="minorHAnsi" w:hAnsiTheme="minorHAnsi" w:cstheme="minorHAnsi"/>
          <w:b/>
          <w:sz w:val="22"/>
          <w:szCs w:val="22"/>
        </w:rPr>
      </w:pPr>
    </w:p>
    <w:p w14:paraId="0EC2F83F" w14:textId="381C7BD3" w:rsidR="00A91D6B" w:rsidRDefault="00E603C3" w:rsidP="00E603C3">
      <w:pPr>
        <w:pStyle w:val="Default"/>
        <w:numPr>
          <w:ilvl w:val="0"/>
          <w:numId w:val="1"/>
        </w:numPr>
        <w:jc w:val="both"/>
        <w:rPr>
          <w:rFonts w:asciiTheme="minorHAnsi" w:hAnsiTheme="minorHAnsi" w:cstheme="minorHAnsi"/>
          <w:b/>
          <w:sz w:val="22"/>
          <w:szCs w:val="22"/>
        </w:rPr>
      </w:pPr>
      <w:r w:rsidRPr="00E603C3">
        <w:rPr>
          <w:rFonts w:asciiTheme="minorHAnsi" w:hAnsiTheme="minorHAnsi" w:cstheme="minorHAnsi"/>
          <w:b/>
          <w:sz w:val="22"/>
          <w:szCs w:val="22"/>
        </w:rPr>
        <w:t>Załącznik nr 1: Formularz oferty</w:t>
      </w:r>
    </w:p>
    <w:p w14:paraId="793BA373" w14:textId="04456386" w:rsidR="00A91D6B" w:rsidRDefault="00A91D6B" w:rsidP="00A91D6B">
      <w:pPr>
        <w:suppressAutoHyphens/>
        <w:spacing w:after="0" w:line="240" w:lineRule="auto"/>
        <w:textAlignment w:val="baseline"/>
        <w:rPr>
          <w:rFonts w:cstheme="minorHAnsi"/>
          <w:color w:val="000000"/>
        </w:rPr>
      </w:pPr>
      <w:r>
        <w:rPr>
          <w:rFonts w:cstheme="minorHAnsi"/>
          <w:b/>
        </w:rPr>
        <w:br w:type="page"/>
      </w:r>
      <w:r>
        <w:rPr>
          <w:rFonts w:cstheme="minorHAnsi"/>
          <w:b/>
          <w:bCs/>
          <w:color w:val="000000"/>
        </w:rPr>
        <w:lastRenderedPageBreak/>
        <w:t>ZAŁĄCZNIK NR 1 DO ZAPYTANIA OFERTOWEGO NR 1/0</w:t>
      </w:r>
      <w:r w:rsidR="00265B5C">
        <w:rPr>
          <w:rFonts w:cstheme="minorHAnsi"/>
          <w:b/>
          <w:bCs/>
          <w:color w:val="000000"/>
        </w:rPr>
        <w:t>7</w:t>
      </w:r>
      <w:r>
        <w:rPr>
          <w:rFonts w:cstheme="minorHAnsi"/>
          <w:b/>
          <w:bCs/>
          <w:color w:val="000000"/>
        </w:rPr>
        <w:t>/2019</w:t>
      </w:r>
    </w:p>
    <w:p w14:paraId="7FFA5D79" w14:textId="77777777" w:rsidR="00A91D6B" w:rsidRDefault="00A91D6B" w:rsidP="00A91D6B">
      <w:pPr>
        <w:suppressAutoHyphens/>
        <w:spacing w:after="0" w:line="240" w:lineRule="auto"/>
        <w:ind w:left="2124" w:firstLine="708"/>
        <w:textAlignment w:val="baseline"/>
        <w:rPr>
          <w:rFonts w:cs="Calibri"/>
          <w:b/>
          <w:bCs/>
          <w:color w:val="000000"/>
          <w:sz w:val="26"/>
          <w:szCs w:val="26"/>
        </w:rPr>
      </w:pPr>
    </w:p>
    <w:p w14:paraId="42E0DDF9" w14:textId="77777777" w:rsidR="00A91D6B" w:rsidRDefault="00A91D6B" w:rsidP="00A91D6B">
      <w:pPr>
        <w:suppressAutoHyphens/>
        <w:spacing w:after="0" w:line="240" w:lineRule="auto"/>
        <w:ind w:left="2124" w:firstLine="708"/>
        <w:textAlignment w:val="baseline"/>
        <w:rPr>
          <w:rFonts w:cs="Calibri"/>
          <w:color w:val="000000"/>
          <w:sz w:val="24"/>
          <w:szCs w:val="24"/>
        </w:rPr>
      </w:pPr>
      <w:r>
        <w:rPr>
          <w:rFonts w:cs="Calibri"/>
          <w:b/>
          <w:bCs/>
          <w:color w:val="000000"/>
          <w:sz w:val="26"/>
          <w:szCs w:val="26"/>
        </w:rPr>
        <w:t>FORMULARZ OFERTY</w:t>
      </w:r>
    </w:p>
    <w:p w14:paraId="47B06C67" w14:textId="77777777" w:rsidR="00A91D6B" w:rsidRDefault="00A91D6B" w:rsidP="00A91D6B">
      <w:pPr>
        <w:suppressAutoHyphens/>
        <w:spacing w:after="0" w:line="240" w:lineRule="auto"/>
        <w:textAlignment w:val="baseline"/>
        <w:rPr>
          <w:rFonts w:cs="Calibri"/>
          <w:color w:val="000000"/>
          <w:sz w:val="26"/>
          <w:szCs w:val="26"/>
        </w:rPr>
      </w:pPr>
    </w:p>
    <w:p w14:paraId="563B882E" w14:textId="77777777" w:rsidR="00A91D6B" w:rsidRDefault="00A91D6B" w:rsidP="00A91D6B">
      <w:pPr>
        <w:suppressAutoHyphens/>
        <w:spacing w:after="0" w:line="240" w:lineRule="auto"/>
        <w:textAlignment w:val="baseline"/>
        <w:rPr>
          <w:rFonts w:cs="Calibri"/>
          <w:color w:val="000000"/>
          <w:sz w:val="26"/>
          <w:szCs w:val="26"/>
        </w:rPr>
      </w:pPr>
      <w:r>
        <w:rPr>
          <w:rFonts w:cs="Calibri"/>
          <w:color w:val="000000"/>
          <w:sz w:val="26"/>
          <w:szCs w:val="26"/>
        </w:rPr>
        <w:t>……………………………..</w:t>
      </w:r>
    </w:p>
    <w:p w14:paraId="44E4219B" w14:textId="77777777" w:rsidR="00A91D6B" w:rsidRDefault="00A91D6B" w:rsidP="00A91D6B">
      <w:pPr>
        <w:suppressAutoHyphens/>
        <w:spacing w:after="0" w:line="240" w:lineRule="auto"/>
        <w:textAlignment w:val="baseline"/>
        <w:rPr>
          <w:rFonts w:cs="Calibri"/>
          <w:color w:val="000000"/>
          <w:sz w:val="18"/>
          <w:szCs w:val="18"/>
        </w:rPr>
      </w:pPr>
      <w:r>
        <w:rPr>
          <w:rFonts w:cs="Calibri"/>
          <w:color w:val="000000"/>
          <w:sz w:val="18"/>
          <w:szCs w:val="18"/>
        </w:rPr>
        <w:t>Miejscowość, data</w:t>
      </w:r>
    </w:p>
    <w:p w14:paraId="7EEA096D" w14:textId="77777777" w:rsidR="00A91D6B" w:rsidRDefault="00A91D6B" w:rsidP="00A91D6B">
      <w:pPr>
        <w:suppressAutoHyphens/>
        <w:spacing w:after="0" w:line="240" w:lineRule="auto"/>
        <w:textAlignment w:val="baseline"/>
        <w:rPr>
          <w:rFonts w:cs="Calibri"/>
          <w:color w:val="000000"/>
        </w:rPr>
      </w:pPr>
    </w:p>
    <w:p w14:paraId="73789DCB"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Nazwa i adres oferenta oraz dane rejestrowe, w tym NIP:</w:t>
      </w:r>
    </w:p>
    <w:p w14:paraId="754A770B" w14:textId="77777777" w:rsidR="00A91D6B" w:rsidRDefault="00A91D6B" w:rsidP="00A91D6B">
      <w:pPr>
        <w:suppressAutoHyphens/>
        <w:spacing w:after="0" w:line="240" w:lineRule="auto"/>
        <w:textAlignment w:val="baseline"/>
        <w:rPr>
          <w:rFonts w:cs="Calibri"/>
          <w:color w:val="000000"/>
        </w:rPr>
      </w:pPr>
    </w:p>
    <w:p w14:paraId="44C5DC6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75A53B8C"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5EEA6BC9"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235D6A8" w14:textId="77777777" w:rsidR="00A91D6B" w:rsidRDefault="00A91D6B" w:rsidP="00A91D6B">
      <w:pPr>
        <w:suppressAutoHyphens/>
        <w:spacing w:after="0" w:line="240" w:lineRule="auto"/>
        <w:textAlignment w:val="baseline"/>
        <w:rPr>
          <w:rFonts w:cs="Calibri"/>
          <w:color w:val="000000"/>
        </w:rPr>
      </w:pPr>
    </w:p>
    <w:p w14:paraId="4678E6AA"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Imię i nazwisko oraz telefon i e-mail osoby wyznaczonej do kontaktów:</w:t>
      </w:r>
    </w:p>
    <w:p w14:paraId="2735D65C" w14:textId="77777777" w:rsidR="00A91D6B" w:rsidRDefault="00A91D6B" w:rsidP="00A91D6B">
      <w:pPr>
        <w:suppressAutoHyphens/>
        <w:spacing w:after="0" w:line="240" w:lineRule="auto"/>
        <w:textAlignment w:val="baseline"/>
        <w:rPr>
          <w:rFonts w:cs="Calibri"/>
          <w:color w:val="000000"/>
        </w:rPr>
      </w:pPr>
    </w:p>
    <w:p w14:paraId="576D4FA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17959768"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0DE2D2C" w14:textId="77777777" w:rsidR="00A91D6B" w:rsidRDefault="00A91D6B" w:rsidP="00A91D6B">
      <w:pPr>
        <w:suppressAutoHyphens/>
        <w:spacing w:after="0" w:line="240" w:lineRule="auto"/>
        <w:textAlignment w:val="baseline"/>
        <w:rPr>
          <w:rFonts w:cs="Calibri"/>
          <w:color w:val="000000"/>
        </w:rPr>
      </w:pPr>
    </w:p>
    <w:p w14:paraId="4677DA42"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Wartość oferty:</w:t>
      </w:r>
    </w:p>
    <w:p w14:paraId="7EFCF7AE" w14:textId="77777777" w:rsidR="00A91D6B" w:rsidRDefault="00A91D6B" w:rsidP="00A91D6B">
      <w:pPr>
        <w:suppressAutoHyphens/>
        <w:spacing w:after="0" w:line="240" w:lineRule="auto"/>
        <w:textAlignment w:val="baseline"/>
        <w:rPr>
          <w:rFonts w:cs="Calibri"/>
          <w:color w:val="000000"/>
        </w:rPr>
      </w:pPr>
    </w:p>
    <w:p w14:paraId="49B6C905" w14:textId="77777777" w:rsidR="00A91D6B" w:rsidRDefault="00A91D6B" w:rsidP="00A91D6B">
      <w:pPr>
        <w:suppressAutoHyphens/>
        <w:spacing w:after="0" w:line="240" w:lineRule="auto"/>
        <w:ind w:left="1418"/>
        <w:textAlignment w:val="baseline"/>
        <w:rPr>
          <w:rFonts w:cs="Calibri"/>
          <w:color w:val="000000"/>
        </w:rPr>
      </w:pPr>
      <w:r>
        <w:rPr>
          <w:rFonts w:cs="Calibri"/>
          <w:color w:val="000000"/>
        </w:rPr>
        <w:t>Cena netto               ……………………………………………………………..</w:t>
      </w:r>
    </w:p>
    <w:p w14:paraId="044A9392"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VAT                            ……………………………………………………………..</w:t>
      </w:r>
    </w:p>
    <w:p w14:paraId="3C0BF7D8"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 xml:space="preserve">Cena brutto </w:t>
      </w:r>
      <w:r>
        <w:rPr>
          <w:rFonts w:cs="Calibri"/>
          <w:color w:val="000000"/>
          <w:lang w:val="en-US"/>
        </w:rPr>
        <w:tab/>
        <w:t xml:space="preserve">       …………………………………………………………….</w:t>
      </w:r>
    </w:p>
    <w:p w14:paraId="322FEEF7" w14:textId="240D61BA" w:rsidR="00A91D6B" w:rsidRDefault="00A91D6B" w:rsidP="00A91D6B">
      <w:pPr>
        <w:numPr>
          <w:ilvl w:val="0"/>
          <w:numId w:val="16"/>
        </w:numPr>
        <w:suppressAutoHyphens/>
        <w:spacing w:after="0" w:line="240" w:lineRule="auto"/>
        <w:textAlignment w:val="baseline"/>
        <w:rPr>
          <w:rFonts w:cs="Calibri"/>
          <w:color w:val="000000"/>
        </w:rPr>
      </w:pPr>
      <w:r>
        <w:rPr>
          <w:rFonts w:cs="Calibri"/>
          <w:b/>
          <w:bCs/>
          <w:color w:val="000000"/>
        </w:rPr>
        <w:t>Termin realizacji zamówienia</w:t>
      </w:r>
      <w:r>
        <w:rPr>
          <w:rFonts w:cs="Calibri"/>
          <w:color w:val="000000"/>
        </w:rPr>
        <w:t xml:space="preserve"> (liczony w dniach kalendarzowych)    …………….........................</w:t>
      </w:r>
    </w:p>
    <w:p w14:paraId="73EF36DE"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 xml:space="preserve">Ważność oferty:  Oferta ważna 90 dni.  </w:t>
      </w:r>
    </w:p>
    <w:p w14:paraId="3B18EB3E" w14:textId="37F36267" w:rsidR="00A91D6B" w:rsidRDefault="00A91D6B" w:rsidP="00A91D6B">
      <w:pPr>
        <w:suppressAutoHyphens/>
        <w:spacing w:after="0" w:line="240" w:lineRule="auto"/>
        <w:ind w:left="720"/>
        <w:textAlignment w:val="baseline"/>
        <w:rPr>
          <w:rFonts w:cs="Calibri"/>
          <w:color w:val="000000"/>
        </w:rPr>
      </w:pPr>
    </w:p>
    <w:p w14:paraId="0F12D360" w14:textId="45DB5841" w:rsidR="000654A7" w:rsidRPr="007537C9" w:rsidRDefault="000654A7" w:rsidP="000654A7">
      <w:pPr>
        <w:suppressAutoHyphens/>
        <w:spacing w:after="0" w:line="240" w:lineRule="auto"/>
        <w:textAlignment w:val="baseline"/>
        <w:rPr>
          <w:rFonts w:cs="Calibri"/>
          <w:b/>
          <w:color w:val="000000"/>
        </w:rPr>
      </w:pPr>
      <w:r w:rsidRPr="007537C9">
        <w:rPr>
          <w:rFonts w:cs="Calibri"/>
          <w:b/>
          <w:color w:val="000000"/>
        </w:rPr>
        <w:t>Tabela cenowa</w:t>
      </w:r>
    </w:p>
    <w:p w14:paraId="0AD59F57" w14:textId="4D546E7E" w:rsidR="000654A7" w:rsidRDefault="000654A7" w:rsidP="000654A7">
      <w:pPr>
        <w:suppressAutoHyphens/>
        <w:spacing w:after="0" w:line="240" w:lineRule="auto"/>
        <w:textAlignment w:val="baseline"/>
        <w:rPr>
          <w:rFonts w:cs="Calibri"/>
          <w:color w:val="000000"/>
        </w:rPr>
      </w:pPr>
    </w:p>
    <w:tbl>
      <w:tblPr>
        <w:tblStyle w:val="Tabela-Siatka"/>
        <w:tblW w:w="9062" w:type="dxa"/>
        <w:tblInd w:w="5" w:type="dxa"/>
        <w:tblLook w:val="04A0" w:firstRow="1" w:lastRow="0" w:firstColumn="1" w:lastColumn="0" w:noHBand="0" w:noVBand="1"/>
      </w:tblPr>
      <w:tblGrid>
        <w:gridCol w:w="928"/>
        <w:gridCol w:w="3821"/>
        <w:gridCol w:w="1417"/>
        <w:gridCol w:w="1775"/>
        <w:gridCol w:w="1121"/>
      </w:tblGrid>
      <w:tr w:rsidR="005E7D38" w:rsidRPr="00C16137" w14:paraId="4D338240" w14:textId="77777777" w:rsidTr="005E7D38">
        <w:trPr>
          <w:trHeight w:val="283"/>
        </w:trPr>
        <w:tc>
          <w:tcPr>
            <w:tcW w:w="928" w:type="dxa"/>
            <w:noWrap/>
            <w:hideMark/>
          </w:tcPr>
          <w:p w14:paraId="0CC41CB2" w14:textId="77777777" w:rsidR="005E7D38" w:rsidRPr="00C16137" w:rsidRDefault="005E7D38" w:rsidP="004D75E3">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LP</w:t>
            </w:r>
          </w:p>
        </w:tc>
        <w:tc>
          <w:tcPr>
            <w:tcW w:w="3821" w:type="dxa"/>
            <w:noWrap/>
            <w:hideMark/>
          </w:tcPr>
          <w:p w14:paraId="5A8D9B93" w14:textId="77777777" w:rsidR="005E7D38" w:rsidRPr="00C16137" w:rsidRDefault="005E7D38" w:rsidP="004D75E3">
            <w:pPr>
              <w:jc w:val="center"/>
              <w:rPr>
                <w:rFonts w:ascii="Calibri" w:eastAsia="Times New Roman" w:hAnsi="Calibri" w:cs="Times New Roman"/>
                <w:b/>
                <w:bCs/>
                <w:lang w:eastAsia="pl-PL"/>
              </w:rPr>
            </w:pPr>
            <w:r>
              <w:rPr>
                <w:rFonts w:ascii="Calibri" w:eastAsia="Times New Roman" w:hAnsi="Calibri" w:cs="Times New Roman"/>
                <w:b/>
                <w:bCs/>
                <w:lang w:eastAsia="pl-PL"/>
              </w:rPr>
              <w:t>Typ licencji -</w:t>
            </w:r>
            <w:r w:rsidRPr="00C16137">
              <w:rPr>
                <w:rFonts w:ascii="Calibri" w:eastAsia="Times New Roman" w:hAnsi="Calibri" w:cs="Times New Roman"/>
                <w:b/>
                <w:bCs/>
                <w:lang w:eastAsia="pl-PL"/>
              </w:rPr>
              <w:t>Opis</w:t>
            </w:r>
          </w:p>
        </w:tc>
        <w:tc>
          <w:tcPr>
            <w:tcW w:w="1417" w:type="dxa"/>
            <w:noWrap/>
            <w:hideMark/>
          </w:tcPr>
          <w:p w14:paraId="0596381D" w14:textId="77777777" w:rsidR="005E7D38" w:rsidRPr="00C16137" w:rsidRDefault="005E7D38" w:rsidP="004D75E3">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Ilość</w:t>
            </w:r>
          </w:p>
        </w:tc>
        <w:tc>
          <w:tcPr>
            <w:tcW w:w="1775" w:type="dxa"/>
          </w:tcPr>
          <w:p w14:paraId="6EF35E9D" w14:textId="77777777" w:rsidR="005E7D38" w:rsidRPr="00C16137" w:rsidRDefault="005E7D38" w:rsidP="004D75E3">
            <w:pPr>
              <w:jc w:val="center"/>
              <w:rPr>
                <w:rFonts w:ascii="Calibri" w:eastAsia="Times New Roman" w:hAnsi="Calibri" w:cs="Times New Roman"/>
                <w:b/>
                <w:bCs/>
                <w:lang w:eastAsia="pl-PL"/>
              </w:rPr>
            </w:pPr>
            <w:r>
              <w:rPr>
                <w:rFonts w:ascii="Calibri" w:eastAsia="Times New Roman" w:hAnsi="Calibri" w:cs="Times New Roman"/>
                <w:b/>
                <w:bCs/>
                <w:lang w:eastAsia="pl-PL"/>
              </w:rPr>
              <w:t>Producent, Nazwa licencji</w:t>
            </w:r>
          </w:p>
        </w:tc>
        <w:tc>
          <w:tcPr>
            <w:tcW w:w="1121" w:type="dxa"/>
          </w:tcPr>
          <w:p w14:paraId="0981A214" w14:textId="77777777" w:rsidR="005E7D38" w:rsidRPr="00C16137" w:rsidRDefault="005E7D38" w:rsidP="004D75E3">
            <w:pPr>
              <w:jc w:val="center"/>
              <w:rPr>
                <w:rFonts w:ascii="Calibri" w:eastAsia="Times New Roman" w:hAnsi="Calibri" w:cs="Times New Roman"/>
                <w:b/>
                <w:bCs/>
                <w:lang w:eastAsia="pl-PL"/>
              </w:rPr>
            </w:pPr>
            <w:r>
              <w:rPr>
                <w:rFonts w:ascii="Calibri" w:eastAsia="Times New Roman" w:hAnsi="Calibri" w:cs="Times New Roman"/>
                <w:b/>
                <w:bCs/>
                <w:lang w:eastAsia="pl-PL"/>
              </w:rPr>
              <w:t>Cena netto</w:t>
            </w:r>
          </w:p>
        </w:tc>
      </w:tr>
      <w:tr w:rsidR="005E7D38" w:rsidRPr="00C16137" w14:paraId="4F93112D" w14:textId="77777777" w:rsidTr="005E7D38">
        <w:trPr>
          <w:trHeight w:val="283"/>
        </w:trPr>
        <w:tc>
          <w:tcPr>
            <w:tcW w:w="928" w:type="dxa"/>
            <w:noWrap/>
          </w:tcPr>
          <w:p w14:paraId="4C18B8CD" w14:textId="77777777" w:rsidR="005E7D38" w:rsidRPr="00C16137" w:rsidRDefault="005E7D38" w:rsidP="005E7D38">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c>
          <w:tcPr>
            <w:tcW w:w="3821" w:type="dxa"/>
          </w:tcPr>
          <w:p w14:paraId="6B766B5C" w14:textId="2589B3B1" w:rsidR="005E7D38" w:rsidRPr="007B62CB" w:rsidRDefault="005E7D38" w:rsidP="005E7D38">
            <w:pPr>
              <w:rPr>
                <w:rFonts w:ascii="Calibri" w:eastAsia="Times New Roman" w:hAnsi="Calibri" w:cs="Times New Roman"/>
                <w:b/>
                <w:bCs/>
                <w:lang w:eastAsia="pl-PL"/>
              </w:rPr>
            </w:pPr>
            <w:r w:rsidRPr="007B62CB">
              <w:rPr>
                <w:rFonts w:ascii="Calibri" w:eastAsia="Times New Roman" w:hAnsi="Calibri" w:cs="Times New Roman"/>
                <w:b/>
                <w:bCs/>
                <w:lang w:eastAsia="pl-PL"/>
              </w:rPr>
              <w:t>Licencja na systemy operacyjne wraz z licencjami dostępowymi dla użytkowników</w:t>
            </w:r>
          </w:p>
        </w:tc>
        <w:tc>
          <w:tcPr>
            <w:tcW w:w="1417" w:type="dxa"/>
            <w:noWrap/>
          </w:tcPr>
          <w:p w14:paraId="39018EED" w14:textId="3ABC5F5A" w:rsidR="005E7D38" w:rsidRPr="00C16137" w:rsidRDefault="005E7D38" w:rsidP="005E7D38">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c>
          <w:tcPr>
            <w:tcW w:w="1775" w:type="dxa"/>
          </w:tcPr>
          <w:p w14:paraId="0BD4E029" w14:textId="77777777" w:rsidR="005E7D38" w:rsidRDefault="005E7D38" w:rsidP="005E7D38">
            <w:pPr>
              <w:jc w:val="center"/>
              <w:rPr>
                <w:rFonts w:ascii="Calibri" w:eastAsia="Times New Roman" w:hAnsi="Calibri" w:cs="Times New Roman"/>
                <w:b/>
                <w:bCs/>
                <w:lang w:eastAsia="pl-PL"/>
              </w:rPr>
            </w:pPr>
          </w:p>
        </w:tc>
        <w:tc>
          <w:tcPr>
            <w:tcW w:w="1121" w:type="dxa"/>
          </w:tcPr>
          <w:p w14:paraId="00A83201" w14:textId="77777777" w:rsidR="005E7D38" w:rsidRDefault="005E7D38" w:rsidP="005E7D38">
            <w:pPr>
              <w:jc w:val="center"/>
              <w:rPr>
                <w:rFonts w:ascii="Calibri" w:eastAsia="Times New Roman" w:hAnsi="Calibri" w:cs="Times New Roman"/>
                <w:b/>
                <w:bCs/>
                <w:lang w:eastAsia="pl-PL"/>
              </w:rPr>
            </w:pPr>
          </w:p>
        </w:tc>
      </w:tr>
      <w:tr w:rsidR="005E7D38" w:rsidRPr="007B62CB" w14:paraId="418E6B31" w14:textId="77777777" w:rsidTr="005E7D38">
        <w:trPr>
          <w:trHeight w:val="283"/>
        </w:trPr>
        <w:tc>
          <w:tcPr>
            <w:tcW w:w="928" w:type="dxa"/>
            <w:noWrap/>
            <w:hideMark/>
          </w:tcPr>
          <w:p w14:paraId="5806C9C2" w14:textId="77777777" w:rsidR="005E7D38" w:rsidRPr="00C16137" w:rsidRDefault="005E7D38" w:rsidP="005E7D38">
            <w:pPr>
              <w:jc w:val="center"/>
              <w:rPr>
                <w:rFonts w:ascii="Calibri" w:eastAsia="Times New Roman" w:hAnsi="Calibri" w:cs="Times New Roman"/>
                <w:b/>
                <w:bCs/>
                <w:lang w:eastAsia="pl-PL"/>
              </w:rPr>
            </w:pPr>
            <w:r>
              <w:rPr>
                <w:rFonts w:ascii="Calibri" w:eastAsia="Times New Roman" w:hAnsi="Calibri" w:cs="Times New Roman"/>
                <w:b/>
                <w:bCs/>
                <w:lang w:eastAsia="pl-PL"/>
              </w:rPr>
              <w:t>2</w:t>
            </w:r>
          </w:p>
        </w:tc>
        <w:tc>
          <w:tcPr>
            <w:tcW w:w="3821" w:type="dxa"/>
            <w:hideMark/>
          </w:tcPr>
          <w:p w14:paraId="1776F7B0" w14:textId="7B559641" w:rsidR="005E7D38" w:rsidRPr="007B62CB" w:rsidRDefault="005E7D38" w:rsidP="005E7D38">
            <w:pPr>
              <w:rPr>
                <w:rFonts w:ascii="Times New Roman" w:eastAsia="Times New Roman" w:hAnsi="Times New Roman" w:cs="Times New Roman"/>
                <w:sz w:val="20"/>
                <w:szCs w:val="20"/>
                <w:lang w:eastAsia="pl-PL"/>
              </w:rPr>
            </w:pPr>
            <w:r w:rsidRPr="007B62CB">
              <w:rPr>
                <w:rFonts w:ascii="Calibri" w:eastAsia="Times New Roman" w:hAnsi="Calibri" w:cs="Times New Roman"/>
                <w:b/>
                <w:bCs/>
                <w:lang w:eastAsia="pl-PL"/>
              </w:rPr>
              <w:t>Licencja na oprogramowanie do pracy grupowej zespołu (poczta, kalendarz, zadania</w:t>
            </w:r>
            <w:r>
              <w:rPr>
                <w:rFonts w:ascii="Calibri" w:eastAsia="Times New Roman" w:hAnsi="Calibri" w:cs="Times New Roman"/>
                <w:b/>
                <w:bCs/>
                <w:lang w:eastAsia="pl-PL"/>
              </w:rPr>
              <w:t xml:space="preserve">, kontakty, foldery </w:t>
            </w:r>
            <w:r w:rsidRPr="007B62CB">
              <w:rPr>
                <w:rFonts w:ascii="Calibri" w:eastAsia="Times New Roman" w:hAnsi="Calibri" w:cs="Times New Roman"/>
                <w:b/>
                <w:bCs/>
                <w:lang w:eastAsia="pl-PL"/>
              </w:rPr>
              <w:t>)</w:t>
            </w:r>
            <w:r>
              <w:rPr>
                <w:rFonts w:ascii="Calibri" w:eastAsia="Times New Roman" w:hAnsi="Calibri" w:cs="Times New Roman"/>
                <w:b/>
                <w:bCs/>
                <w:lang w:eastAsia="pl-PL"/>
              </w:rPr>
              <w:t xml:space="preserve"> </w:t>
            </w:r>
            <w:r w:rsidRPr="007B62CB">
              <w:rPr>
                <w:rFonts w:ascii="Calibri" w:eastAsia="Times New Roman" w:hAnsi="Calibri" w:cs="Times New Roman"/>
                <w:b/>
                <w:bCs/>
                <w:lang w:eastAsia="pl-PL"/>
              </w:rPr>
              <w:t>wraz z licencjami dostępowymi dla użytkowników</w:t>
            </w:r>
          </w:p>
        </w:tc>
        <w:tc>
          <w:tcPr>
            <w:tcW w:w="1417" w:type="dxa"/>
            <w:noWrap/>
          </w:tcPr>
          <w:p w14:paraId="4A08D71B" w14:textId="31D95309" w:rsidR="005E7D38" w:rsidRPr="00265B5C" w:rsidRDefault="005E7D38" w:rsidP="005E7D38">
            <w:pPr>
              <w:jc w:val="center"/>
              <w:rPr>
                <w:rFonts w:ascii="Times New Roman" w:eastAsia="Times New Roman" w:hAnsi="Times New Roman" w:cs="Times New Roman"/>
                <w:b/>
                <w:bCs/>
                <w:sz w:val="20"/>
                <w:szCs w:val="20"/>
                <w:lang w:eastAsia="pl-PL"/>
              </w:rPr>
            </w:pPr>
            <w:r w:rsidRPr="00265B5C">
              <w:rPr>
                <w:rFonts w:ascii="Times New Roman" w:eastAsia="Times New Roman" w:hAnsi="Times New Roman" w:cs="Times New Roman"/>
                <w:b/>
                <w:bCs/>
                <w:sz w:val="20"/>
                <w:szCs w:val="20"/>
                <w:lang w:eastAsia="pl-PL"/>
              </w:rPr>
              <w:t>1</w:t>
            </w:r>
          </w:p>
        </w:tc>
        <w:tc>
          <w:tcPr>
            <w:tcW w:w="1775" w:type="dxa"/>
          </w:tcPr>
          <w:p w14:paraId="5030FB2D" w14:textId="77777777" w:rsidR="005E7D38" w:rsidRDefault="005E7D38" w:rsidP="005E7D38">
            <w:pPr>
              <w:jc w:val="center"/>
              <w:rPr>
                <w:rFonts w:ascii="Calibri" w:eastAsia="Times New Roman" w:hAnsi="Calibri" w:cs="Times New Roman"/>
                <w:b/>
                <w:bCs/>
                <w:lang w:eastAsia="pl-PL"/>
              </w:rPr>
            </w:pPr>
          </w:p>
        </w:tc>
        <w:tc>
          <w:tcPr>
            <w:tcW w:w="1121" w:type="dxa"/>
          </w:tcPr>
          <w:p w14:paraId="0220DB6C" w14:textId="77777777" w:rsidR="005E7D38" w:rsidRDefault="005E7D38" w:rsidP="005E7D38">
            <w:pPr>
              <w:jc w:val="center"/>
              <w:rPr>
                <w:rFonts w:ascii="Calibri" w:eastAsia="Times New Roman" w:hAnsi="Calibri" w:cs="Times New Roman"/>
                <w:b/>
                <w:bCs/>
                <w:lang w:eastAsia="pl-PL"/>
              </w:rPr>
            </w:pPr>
          </w:p>
        </w:tc>
      </w:tr>
      <w:tr w:rsidR="005E7D38" w:rsidRPr="00C16137" w14:paraId="0982FBDE" w14:textId="77777777" w:rsidTr="005E7D38">
        <w:trPr>
          <w:trHeight w:val="283"/>
        </w:trPr>
        <w:tc>
          <w:tcPr>
            <w:tcW w:w="928" w:type="dxa"/>
            <w:noWrap/>
            <w:hideMark/>
          </w:tcPr>
          <w:p w14:paraId="0FB3100C" w14:textId="77777777" w:rsidR="005E7D38" w:rsidRPr="00C16137" w:rsidRDefault="005E7D38" w:rsidP="005E7D38">
            <w:pPr>
              <w:jc w:val="center"/>
              <w:rPr>
                <w:rFonts w:ascii="Calibri" w:eastAsia="Times New Roman" w:hAnsi="Calibri" w:cs="Times New Roman"/>
                <w:b/>
                <w:bCs/>
                <w:lang w:eastAsia="pl-PL"/>
              </w:rPr>
            </w:pPr>
            <w:r>
              <w:rPr>
                <w:rFonts w:ascii="Calibri" w:eastAsia="Times New Roman" w:hAnsi="Calibri" w:cs="Times New Roman"/>
                <w:b/>
                <w:bCs/>
                <w:lang w:eastAsia="pl-PL"/>
              </w:rPr>
              <w:t>3</w:t>
            </w:r>
          </w:p>
        </w:tc>
        <w:tc>
          <w:tcPr>
            <w:tcW w:w="3821" w:type="dxa"/>
            <w:hideMark/>
          </w:tcPr>
          <w:p w14:paraId="637B4D49" w14:textId="40232D0E" w:rsidR="005E7D38" w:rsidRPr="007B62CB" w:rsidRDefault="005E7D38" w:rsidP="005E7D38">
            <w:pPr>
              <w:rPr>
                <w:rFonts w:ascii="Calibri" w:eastAsia="Times New Roman" w:hAnsi="Calibri" w:cs="Times New Roman"/>
                <w:b/>
                <w:bCs/>
                <w:lang w:eastAsia="pl-PL"/>
              </w:rPr>
            </w:pPr>
            <w:r w:rsidRPr="004B4E5E">
              <w:rPr>
                <w:rFonts w:ascii="Calibri" w:eastAsia="Times New Roman" w:hAnsi="Calibri" w:cs="Times New Roman"/>
                <w:b/>
                <w:bCs/>
                <w:lang w:eastAsia="pl-PL"/>
              </w:rPr>
              <w:t>Licencja na oprogramowanie do synchronizacji serwerów pracy grupowej zespołu</w:t>
            </w:r>
          </w:p>
        </w:tc>
        <w:tc>
          <w:tcPr>
            <w:tcW w:w="1417" w:type="dxa"/>
            <w:noWrap/>
          </w:tcPr>
          <w:p w14:paraId="0C50DAD1" w14:textId="08B33566" w:rsidR="005E7D38" w:rsidRPr="00C16137" w:rsidRDefault="005E7D38" w:rsidP="005E7D38">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c>
          <w:tcPr>
            <w:tcW w:w="1775" w:type="dxa"/>
          </w:tcPr>
          <w:p w14:paraId="14E7299E" w14:textId="77777777" w:rsidR="005E7D38" w:rsidRDefault="005E7D38" w:rsidP="005E7D38">
            <w:pPr>
              <w:jc w:val="center"/>
              <w:rPr>
                <w:rFonts w:ascii="Calibri" w:eastAsia="Times New Roman" w:hAnsi="Calibri" w:cs="Times New Roman"/>
                <w:b/>
                <w:bCs/>
                <w:lang w:eastAsia="pl-PL"/>
              </w:rPr>
            </w:pPr>
          </w:p>
        </w:tc>
        <w:tc>
          <w:tcPr>
            <w:tcW w:w="1121" w:type="dxa"/>
          </w:tcPr>
          <w:p w14:paraId="033453E4" w14:textId="77777777" w:rsidR="005E7D38" w:rsidRDefault="005E7D38" w:rsidP="005E7D38">
            <w:pPr>
              <w:jc w:val="center"/>
              <w:rPr>
                <w:rFonts w:ascii="Calibri" w:eastAsia="Times New Roman" w:hAnsi="Calibri" w:cs="Times New Roman"/>
                <w:b/>
                <w:bCs/>
                <w:lang w:eastAsia="pl-PL"/>
              </w:rPr>
            </w:pPr>
          </w:p>
        </w:tc>
      </w:tr>
      <w:tr w:rsidR="005E7D38" w:rsidRPr="00C16137" w14:paraId="0381A690" w14:textId="77777777" w:rsidTr="005E7D38">
        <w:trPr>
          <w:trHeight w:val="330"/>
        </w:trPr>
        <w:tc>
          <w:tcPr>
            <w:tcW w:w="7941" w:type="dxa"/>
            <w:gridSpan w:val="4"/>
            <w:noWrap/>
          </w:tcPr>
          <w:p w14:paraId="36367F75" w14:textId="77777777" w:rsidR="005E7D38" w:rsidRPr="00C16137" w:rsidRDefault="005E7D38" w:rsidP="004D75E3">
            <w:pPr>
              <w:jc w:val="right"/>
              <w:rPr>
                <w:rFonts w:ascii="Calibri" w:eastAsia="Times New Roman" w:hAnsi="Calibri" w:cs="Times New Roman"/>
                <w:b/>
                <w:bCs/>
                <w:lang w:eastAsia="pl-PL"/>
              </w:rPr>
            </w:pPr>
            <w:r>
              <w:rPr>
                <w:rFonts w:ascii="Calibri" w:eastAsia="Times New Roman" w:hAnsi="Calibri" w:cs="Times New Roman"/>
                <w:b/>
                <w:bCs/>
                <w:lang w:eastAsia="pl-PL"/>
              </w:rPr>
              <w:t>Suma netto</w:t>
            </w:r>
          </w:p>
        </w:tc>
        <w:tc>
          <w:tcPr>
            <w:tcW w:w="1121" w:type="dxa"/>
          </w:tcPr>
          <w:p w14:paraId="63C479CD" w14:textId="77777777" w:rsidR="005E7D38" w:rsidRPr="00C16137" w:rsidRDefault="005E7D38" w:rsidP="004D75E3">
            <w:pPr>
              <w:jc w:val="center"/>
              <w:rPr>
                <w:rFonts w:ascii="Calibri" w:eastAsia="Times New Roman" w:hAnsi="Calibri" w:cs="Times New Roman"/>
                <w:b/>
                <w:bCs/>
                <w:lang w:eastAsia="pl-PL"/>
              </w:rPr>
            </w:pPr>
          </w:p>
        </w:tc>
      </w:tr>
    </w:tbl>
    <w:p w14:paraId="3B1FA819" w14:textId="77777777" w:rsidR="000654A7" w:rsidRDefault="000654A7" w:rsidP="000654A7">
      <w:pPr>
        <w:suppressAutoHyphens/>
        <w:spacing w:after="0" w:line="240" w:lineRule="auto"/>
        <w:textAlignment w:val="baseline"/>
        <w:rPr>
          <w:rFonts w:cs="Calibri"/>
          <w:color w:val="000000"/>
        </w:rPr>
      </w:pPr>
    </w:p>
    <w:p w14:paraId="2BB1F3AA" w14:textId="54E7F1FF" w:rsidR="000654A7" w:rsidRDefault="000654A7" w:rsidP="00A91D6B">
      <w:pPr>
        <w:suppressAutoHyphens/>
        <w:spacing w:after="0" w:line="240" w:lineRule="auto"/>
        <w:ind w:left="720"/>
        <w:textAlignment w:val="baseline"/>
        <w:rPr>
          <w:rFonts w:cs="Calibri"/>
          <w:color w:val="000000"/>
        </w:rPr>
      </w:pPr>
    </w:p>
    <w:p w14:paraId="613BAEA2" w14:textId="77777777" w:rsidR="000654A7" w:rsidRDefault="000654A7" w:rsidP="00A91D6B">
      <w:pPr>
        <w:suppressAutoHyphens/>
        <w:spacing w:after="0" w:line="240" w:lineRule="auto"/>
        <w:ind w:left="720"/>
        <w:textAlignment w:val="baseline"/>
        <w:rPr>
          <w:rFonts w:cs="Calibri"/>
          <w:color w:val="000000"/>
        </w:rPr>
      </w:pPr>
    </w:p>
    <w:p w14:paraId="46058875" w14:textId="77777777" w:rsidR="00A91D6B" w:rsidRDefault="00A91D6B" w:rsidP="00A91D6B">
      <w:pPr>
        <w:suppressAutoHyphens/>
        <w:spacing w:after="0" w:line="240" w:lineRule="auto"/>
        <w:textAlignment w:val="baseline"/>
        <w:rPr>
          <w:rFonts w:cs="Calibri"/>
          <w:color w:val="000000"/>
          <w:sz w:val="24"/>
          <w:szCs w:val="24"/>
        </w:rPr>
      </w:pPr>
      <w:r>
        <w:rPr>
          <w:rFonts w:cs="Calibri"/>
          <w:b/>
          <w:bCs/>
          <w:color w:val="000000"/>
        </w:rPr>
        <w:t>Oświadczenia:</w:t>
      </w:r>
    </w:p>
    <w:p w14:paraId="5D50CFA9" w14:textId="3DCD9739" w:rsidR="00A91D6B" w:rsidRDefault="00A91D6B" w:rsidP="002F65B3">
      <w:pPr>
        <w:numPr>
          <w:ilvl w:val="0"/>
          <w:numId w:val="17"/>
        </w:numPr>
        <w:suppressAutoHyphens/>
        <w:spacing w:after="18" w:line="240" w:lineRule="auto"/>
        <w:ind w:left="567"/>
        <w:jc w:val="both"/>
        <w:textAlignment w:val="baseline"/>
        <w:rPr>
          <w:rFonts w:cs="Calibri"/>
          <w:color w:val="000000"/>
        </w:rPr>
      </w:pPr>
      <w:r>
        <w:rPr>
          <w:rFonts w:cs="Calibri"/>
          <w:color w:val="000000"/>
        </w:rPr>
        <w:t xml:space="preserve">Oświadczam, iż zapoznałem się z treścią zapytania ofertowego nr </w:t>
      </w:r>
      <w:r w:rsidR="00265B5C">
        <w:rPr>
          <w:rFonts w:cs="Calibri"/>
          <w:color w:val="000000"/>
        </w:rPr>
        <w:t>1/07/2019 opublikowanego przez Tomas Consulting S.A. z siedzibą w Białymstoku</w:t>
      </w:r>
      <w:bookmarkStart w:id="1" w:name="_GoBack"/>
      <w:bookmarkEnd w:id="1"/>
      <w:r w:rsidR="002F65B3">
        <w:rPr>
          <w:rFonts w:cs="Calibri"/>
          <w:color w:val="000000"/>
        </w:rPr>
        <w:t xml:space="preserve"> i</w:t>
      </w:r>
      <w:r>
        <w:rPr>
          <w:rFonts w:cs="Calibri"/>
          <w:color w:val="000000"/>
        </w:rPr>
        <w:t xml:space="preserve"> nie wnoszę żadnych zastrzeżeń oraz uzyskałem niezbędne informacje do przygotowania oferty.</w:t>
      </w:r>
    </w:p>
    <w:p w14:paraId="003B7A76" w14:textId="30378E03"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lastRenderedPageBreak/>
        <w:t>Oświadczam, iż reprezentuję podmiot</w:t>
      </w:r>
      <w:r w:rsidR="002F65B3">
        <w:rPr>
          <w:rFonts w:cs="Calibri"/>
          <w:color w:val="000000"/>
        </w:rPr>
        <w:t xml:space="preserve"> prowadzący działalność gospodarczą</w:t>
      </w:r>
      <w:r>
        <w:rPr>
          <w:rFonts w:cs="Calibri"/>
          <w:color w:val="000000"/>
        </w:rPr>
        <w:t>, który posiada niezbędną wiedzę i doświadczenie w zakresie dostaw bądź usług objętych zapytaniem ofertowym oraz posiadam faktyczną zdolność do wykonania tego zamówienia</w:t>
      </w:r>
      <w:r w:rsidR="002F65B3">
        <w:rPr>
          <w:rFonts w:cs="Calibri"/>
          <w:color w:val="000000"/>
        </w:rPr>
        <w:t xml:space="preserve">, </w:t>
      </w:r>
      <w:r w:rsidR="002F65B3" w:rsidRPr="00E603C3">
        <w:t>w tym między innymi dysponuje prawami, potencjałem technicznym i osobowym koniecznym do wykonania tego zamówienia</w:t>
      </w:r>
      <w:r>
        <w:rPr>
          <w:rFonts w:cs="Calibri"/>
          <w:color w:val="000000"/>
        </w:rPr>
        <w:t>.</w:t>
      </w:r>
    </w:p>
    <w:p w14:paraId="04D5C235" w14:textId="77777777"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17882DB8"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uczestniczeniu w spółce jako wspólnik spółki cywilnej lub spółki osobowej,</w:t>
      </w:r>
    </w:p>
    <w:p w14:paraId="5E4EB21C"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posiadaniu co najmniej 10 % udziałów lub akcji,</w:t>
      </w:r>
    </w:p>
    <w:p w14:paraId="0C13D406"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pełnieniu funkcji członka organu nadzorczego lub zarządzającego, prokurenta, pełnomocnika,</w:t>
      </w:r>
    </w:p>
    <w:p w14:paraId="6FB99EED"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pozostawaniu w związku małżeńskim, w stosunku pokrewieństwa lub powinowactwa w linii prostej, pokrewieństwa drugiego stopnia lub powinowactwa drugiego stopnia w linii bocznej lub w stosunku przysposobienia, opieki lub kurateli.</w:t>
      </w:r>
    </w:p>
    <w:p w14:paraId="4DD846D5" w14:textId="16970F89" w:rsidR="002F65B3" w:rsidRDefault="002F65B3" w:rsidP="00A91D6B">
      <w:pPr>
        <w:suppressAutoHyphens/>
        <w:spacing w:after="0" w:line="240" w:lineRule="auto"/>
        <w:textAlignment w:val="baseline"/>
        <w:rPr>
          <w:rFonts w:cs="Calibri"/>
          <w:color w:val="000000"/>
        </w:rPr>
      </w:pPr>
    </w:p>
    <w:p w14:paraId="3C3BBA89" w14:textId="77777777" w:rsidR="002F65B3" w:rsidRDefault="002F65B3" w:rsidP="00A91D6B">
      <w:pPr>
        <w:suppressAutoHyphens/>
        <w:spacing w:after="0" w:line="240" w:lineRule="auto"/>
        <w:textAlignment w:val="baseline"/>
        <w:rPr>
          <w:rFonts w:cs="Calibri"/>
          <w:color w:val="000000"/>
        </w:rPr>
      </w:pPr>
    </w:p>
    <w:p w14:paraId="1184C334" w14:textId="77777777" w:rsidR="00A91D6B" w:rsidRDefault="00A91D6B" w:rsidP="00A91D6B">
      <w:pPr>
        <w:suppressAutoHyphens/>
        <w:spacing w:after="0" w:line="240" w:lineRule="auto"/>
        <w:textAlignment w:val="baseline"/>
        <w:rPr>
          <w:rFonts w:cs="Calibri"/>
          <w:color w:val="000000"/>
          <w:sz w:val="24"/>
          <w:szCs w:val="24"/>
        </w:rPr>
      </w:pPr>
      <w:r>
        <w:rPr>
          <w:rFonts w:cs="Calibri"/>
          <w:color w:val="000000"/>
          <w:sz w:val="24"/>
          <w:szCs w:val="24"/>
        </w:rPr>
        <w:t>……………………………………… dnia …………………………</w:t>
      </w:r>
    </w:p>
    <w:p w14:paraId="2D415405" w14:textId="77777777" w:rsidR="00A91D6B" w:rsidRDefault="00A91D6B" w:rsidP="00A91D6B">
      <w:pPr>
        <w:suppressAutoHyphens/>
        <w:ind w:left="4248" w:firstLine="708"/>
        <w:textAlignment w:val="baseline"/>
      </w:pPr>
      <w:r>
        <w:t>..……………………………………………………..</w:t>
      </w:r>
    </w:p>
    <w:p w14:paraId="74CC9499" w14:textId="5A6FE359" w:rsidR="00A91D6B" w:rsidRDefault="00A91D6B" w:rsidP="002F65B3">
      <w:pPr>
        <w:jc w:val="right"/>
        <w:rPr>
          <w:rFonts w:eastAsia="Calibri" w:cstheme="minorHAnsi"/>
          <w:b/>
          <w:color w:val="000000"/>
        </w:rPr>
      </w:pPr>
      <w:r>
        <w:rPr>
          <w:sz w:val="16"/>
        </w:rPr>
        <w:t>Czytelny podpis uprawnionego przedstawiciela Oferenta oraz pieczęć firmowa</w:t>
      </w:r>
    </w:p>
    <w:sectPr w:rsidR="00A91D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3D40" w14:textId="77777777" w:rsidR="00CC4A1B" w:rsidRDefault="00CC4A1B" w:rsidP="00CC4A1B">
      <w:pPr>
        <w:spacing w:after="0" w:line="240" w:lineRule="auto"/>
      </w:pPr>
      <w:r>
        <w:separator/>
      </w:r>
    </w:p>
  </w:endnote>
  <w:endnote w:type="continuationSeparator" w:id="0">
    <w:p w14:paraId="04DEEE5C" w14:textId="77777777" w:rsidR="00CC4A1B" w:rsidRDefault="00CC4A1B" w:rsidP="00C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8347"/>
      <w:docPartObj>
        <w:docPartGallery w:val="Page Numbers (Bottom of Page)"/>
        <w:docPartUnique/>
      </w:docPartObj>
    </w:sdtPr>
    <w:sdtEndPr/>
    <w:sdtContent>
      <w:p w14:paraId="5F033B8F" w14:textId="21B6B735" w:rsidR="00CC4A1B" w:rsidRDefault="00CC4A1B">
        <w:pPr>
          <w:pStyle w:val="Stopka"/>
          <w:jc w:val="center"/>
        </w:pPr>
        <w:r>
          <w:fldChar w:fldCharType="begin"/>
        </w:r>
        <w:r>
          <w:instrText>PAGE   \* MERGEFORMAT</w:instrText>
        </w:r>
        <w:r>
          <w:fldChar w:fldCharType="separate"/>
        </w:r>
        <w:r w:rsidR="005E7D38">
          <w:rPr>
            <w:noProof/>
          </w:rPr>
          <w:t>6</w:t>
        </w:r>
        <w:r>
          <w:fldChar w:fldCharType="end"/>
        </w:r>
      </w:p>
    </w:sdtContent>
  </w:sdt>
  <w:p w14:paraId="1A10C387" w14:textId="77777777" w:rsidR="00CC4A1B" w:rsidRDefault="00CC4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0C04" w14:textId="77777777" w:rsidR="00CC4A1B" w:rsidRDefault="00CC4A1B" w:rsidP="00CC4A1B">
      <w:pPr>
        <w:spacing w:after="0" w:line="240" w:lineRule="auto"/>
      </w:pPr>
      <w:r>
        <w:separator/>
      </w:r>
    </w:p>
  </w:footnote>
  <w:footnote w:type="continuationSeparator" w:id="0">
    <w:p w14:paraId="1ABF1984" w14:textId="77777777" w:rsidR="00CC4A1B" w:rsidRDefault="00CC4A1B" w:rsidP="00CC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E1"/>
    <w:multiLevelType w:val="hybridMultilevel"/>
    <w:tmpl w:val="4C4A1EA6"/>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05C85"/>
    <w:multiLevelType w:val="hybridMultilevel"/>
    <w:tmpl w:val="68645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F670B"/>
    <w:multiLevelType w:val="hybridMultilevel"/>
    <w:tmpl w:val="E19A87B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0F8C1446"/>
    <w:multiLevelType w:val="multilevel"/>
    <w:tmpl w:val="02FCB5B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11C55B47"/>
    <w:multiLevelType w:val="hybridMultilevel"/>
    <w:tmpl w:val="1DA0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57DE"/>
    <w:multiLevelType w:val="hybridMultilevel"/>
    <w:tmpl w:val="B23C36C2"/>
    <w:lvl w:ilvl="0" w:tplc="04150017">
      <w:start w:val="1"/>
      <w:numFmt w:val="lowerLetter"/>
      <w:lvlText w:val="%1)"/>
      <w:lvlJc w:val="left"/>
      <w:pPr>
        <w:ind w:left="720" w:hanging="360"/>
      </w:pPr>
    </w:lvl>
    <w:lvl w:ilvl="1" w:tplc="04A0EE5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F500C5"/>
    <w:multiLevelType w:val="hybridMultilevel"/>
    <w:tmpl w:val="422CFEAE"/>
    <w:lvl w:ilvl="0" w:tplc="04150001">
      <w:start w:val="1"/>
      <w:numFmt w:val="bullet"/>
      <w:lvlText w:val=""/>
      <w:lvlJc w:val="left"/>
      <w:pPr>
        <w:ind w:left="1068" w:hanging="360"/>
      </w:pPr>
      <w:rPr>
        <w:rFonts w:ascii="Symbol" w:hAnsi="Symbol" w:hint="default"/>
      </w:rPr>
    </w:lvl>
    <w:lvl w:ilvl="1" w:tplc="04A0EE56">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72C1820"/>
    <w:multiLevelType w:val="hybridMultilevel"/>
    <w:tmpl w:val="80ACAA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B5C4C"/>
    <w:multiLevelType w:val="hybridMultilevel"/>
    <w:tmpl w:val="73A04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A43D1F"/>
    <w:multiLevelType w:val="hybridMultilevel"/>
    <w:tmpl w:val="9A7025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F3E51D8"/>
    <w:multiLevelType w:val="hybridMultilevel"/>
    <w:tmpl w:val="1682BA4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1F775A3A"/>
    <w:multiLevelType w:val="hybridMultilevel"/>
    <w:tmpl w:val="7B48DBE0"/>
    <w:lvl w:ilvl="0" w:tplc="731A1C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130DA"/>
    <w:multiLevelType w:val="hybridMultilevel"/>
    <w:tmpl w:val="26D662FA"/>
    <w:lvl w:ilvl="0" w:tplc="63CAC4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C4B12"/>
    <w:multiLevelType w:val="hybridMultilevel"/>
    <w:tmpl w:val="67687980"/>
    <w:lvl w:ilvl="0" w:tplc="555C18B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191CA2"/>
    <w:multiLevelType w:val="hybridMultilevel"/>
    <w:tmpl w:val="5B16A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230F4E"/>
    <w:multiLevelType w:val="hybridMultilevel"/>
    <w:tmpl w:val="8AE4CB9C"/>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6477127"/>
    <w:multiLevelType w:val="hybridMultilevel"/>
    <w:tmpl w:val="81F8A6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8375602"/>
    <w:multiLevelType w:val="hybridMultilevel"/>
    <w:tmpl w:val="9C584D6E"/>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8E1879"/>
    <w:multiLevelType w:val="hybridMultilevel"/>
    <w:tmpl w:val="0DA61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F73DB"/>
    <w:multiLevelType w:val="hybridMultilevel"/>
    <w:tmpl w:val="0F1ADD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90E59"/>
    <w:multiLevelType w:val="hybridMultilevel"/>
    <w:tmpl w:val="3574F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D0544"/>
    <w:multiLevelType w:val="hybridMultilevel"/>
    <w:tmpl w:val="5102404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4C62456"/>
    <w:multiLevelType w:val="hybridMultilevel"/>
    <w:tmpl w:val="0D585564"/>
    <w:lvl w:ilvl="0" w:tplc="AA86539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51FD5"/>
    <w:multiLevelType w:val="multilevel"/>
    <w:tmpl w:val="E69803C8"/>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5" w15:restartNumberingAfterBreak="0">
    <w:nsid w:val="48094118"/>
    <w:multiLevelType w:val="hybridMultilevel"/>
    <w:tmpl w:val="58A07324"/>
    <w:lvl w:ilvl="0" w:tplc="3CA01D6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08B"/>
    <w:multiLevelType w:val="hybridMultilevel"/>
    <w:tmpl w:val="8C66B9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B2315AE"/>
    <w:multiLevelType w:val="hybridMultilevel"/>
    <w:tmpl w:val="BDA2A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756D46"/>
    <w:multiLevelType w:val="hybridMultilevel"/>
    <w:tmpl w:val="C4A4843A"/>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BD0AE8"/>
    <w:multiLevelType w:val="hybridMultilevel"/>
    <w:tmpl w:val="43826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F409B"/>
    <w:multiLevelType w:val="hybridMultilevel"/>
    <w:tmpl w:val="5504F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278519F"/>
    <w:multiLevelType w:val="hybridMultilevel"/>
    <w:tmpl w:val="3F867752"/>
    <w:lvl w:ilvl="0" w:tplc="C03A0D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B2E91"/>
    <w:multiLevelType w:val="hybridMultilevel"/>
    <w:tmpl w:val="B5A874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6047D1D"/>
    <w:multiLevelType w:val="hybridMultilevel"/>
    <w:tmpl w:val="5CAC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E3D67"/>
    <w:multiLevelType w:val="hybridMultilevel"/>
    <w:tmpl w:val="B704A2FC"/>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497B57"/>
    <w:multiLevelType w:val="hybridMultilevel"/>
    <w:tmpl w:val="F6B66CA0"/>
    <w:lvl w:ilvl="0" w:tplc="731A1C4A">
      <w:start w:val="1"/>
      <w:numFmt w:val="decimal"/>
      <w:lvlText w:val="%1"/>
      <w:lvlJc w:val="left"/>
      <w:pPr>
        <w:ind w:left="1065" w:hanging="705"/>
      </w:pPr>
      <w:rPr>
        <w:rFonts w:hint="default"/>
      </w:rPr>
    </w:lvl>
    <w:lvl w:ilvl="1" w:tplc="74EAA39E">
      <w:start w:val="1"/>
      <w:numFmt w:val="decimal"/>
      <w:lvlText w:val="%2."/>
      <w:lvlJc w:val="left"/>
      <w:pPr>
        <w:ind w:left="1440" w:hanging="360"/>
      </w:pPr>
      <w:rPr>
        <w:rFonts w:hint="default"/>
      </w:rPr>
    </w:lvl>
    <w:lvl w:ilvl="2" w:tplc="A5DECE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F3290"/>
    <w:multiLevelType w:val="hybridMultilevel"/>
    <w:tmpl w:val="D2AEF520"/>
    <w:lvl w:ilvl="0" w:tplc="04150017">
      <w:start w:val="1"/>
      <w:numFmt w:val="lowerLetter"/>
      <w:lvlText w:val="%1)"/>
      <w:lvlJc w:val="left"/>
      <w:pPr>
        <w:ind w:left="720" w:hanging="360"/>
      </w:pPr>
    </w:lvl>
    <w:lvl w:ilvl="1" w:tplc="71D8E6C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3249B"/>
    <w:multiLevelType w:val="hybridMultilevel"/>
    <w:tmpl w:val="789A4A80"/>
    <w:lvl w:ilvl="0" w:tplc="6458E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2E01CC"/>
    <w:multiLevelType w:val="hybridMultilevel"/>
    <w:tmpl w:val="51D01F2E"/>
    <w:lvl w:ilvl="0" w:tplc="9D6CCF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D3763"/>
    <w:multiLevelType w:val="hybridMultilevel"/>
    <w:tmpl w:val="1078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352930"/>
    <w:multiLevelType w:val="hybridMultilevel"/>
    <w:tmpl w:val="B184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13C4F"/>
    <w:multiLevelType w:val="hybridMultilevel"/>
    <w:tmpl w:val="7974DDFE"/>
    <w:lvl w:ilvl="0" w:tplc="310030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1"/>
  </w:num>
  <w:num w:numId="3">
    <w:abstractNumId w:val="28"/>
  </w:num>
  <w:num w:numId="4">
    <w:abstractNumId w:val="16"/>
  </w:num>
  <w:num w:numId="5">
    <w:abstractNumId w:val="34"/>
  </w:num>
  <w:num w:numId="6">
    <w:abstractNumId w:val="7"/>
  </w:num>
  <w:num w:numId="7">
    <w:abstractNumId w:val="29"/>
  </w:num>
  <w:num w:numId="8">
    <w:abstractNumId w:val="39"/>
  </w:num>
  <w:num w:numId="9">
    <w:abstractNumId w:val="0"/>
  </w:num>
  <w:num w:numId="10">
    <w:abstractNumId w:val="4"/>
  </w:num>
  <w:num w:numId="11">
    <w:abstractNumId w:val="30"/>
  </w:num>
  <w:num w:numId="12">
    <w:abstractNumId w:val="33"/>
  </w:num>
  <w:num w:numId="13">
    <w:abstractNumId w:val="21"/>
  </w:num>
  <w:num w:numId="14">
    <w:abstractNumId w:val="40"/>
  </w:num>
  <w:num w:numId="15">
    <w:abstractNumId w:val="37"/>
  </w:num>
  <w:num w:numId="16">
    <w:abstractNumId w:val="3"/>
  </w:num>
  <w:num w:numId="17">
    <w:abstractNumId w:val="24"/>
  </w:num>
  <w:num w:numId="18">
    <w:abstractNumId w:val="19"/>
  </w:num>
  <w:num w:numId="19">
    <w:abstractNumId w:val="38"/>
  </w:num>
  <w:num w:numId="20">
    <w:abstractNumId w:val="36"/>
  </w:num>
  <w:num w:numId="21">
    <w:abstractNumId w:val="13"/>
  </w:num>
  <w:num w:numId="22">
    <w:abstractNumId w:val="18"/>
  </w:num>
  <w:num w:numId="23">
    <w:abstractNumId w:val="25"/>
  </w:num>
  <w:num w:numId="24">
    <w:abstractNumId w:val="15"/>
  </w:num>
  <w:num w:numId="25">
    <w:abstractNumId w:val="23"/>
  </w:num>
  <w:num w:numId="26">
    <w:abstractNumId w:val="1"/>
  </w:num>
  <w:num w:numId="27">
    <w:abstractNumId w:val="31"/>
  </w:num>
  <w:num w:numId="28">
    <w:abstractNumId w:val="8"/>
  </w:num>
  <w:num w:numId="29">
    <w:abstractNumId w:val="20"/>
  </w:num>
  <w:num w:numId="30">
    <w:abstractNumId w:val="27"/>
  </w:num>
  <w:num w:numId="31">
    <w:abstractNumId w:val="35"/>
  </w:num>
  <w:num w:numId="32">
    <w:abstractNumId w:val="11"/>
  </w:num>
  <w:num w:numId="33">
    <w:abstractNumId w:val="9"/>
  </w:num>
  <w:num w:numId="34">
    <w:abstractNumId w:val="2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 w:numId="38">
    <w:abstractNumId w:val="12"/>
  </w:num>
  <w:num w:numId="39">
    <w:abstractNumId w:val="26"/>
  </w:num>
  <w:num w:numId="40">
    <w:abstractNumId w:val="10"/>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71"/>
    <w:rsid w:val="00041A7D"/>
    <w:rsid w:val="000654A7"/>
    <w:rsid w:val="0006566B"/>
    <w:rsid w:val="000F5C98"/>
    <w:rsid w:val="001314C6"/>
    <w:rsid w:val="00162536"/>
    <w:rsid w:val="001C52D3"/>
    <w:rsid w:val="00201A02"/>
    <w:rsid w:val="00211344"/>
    <w:rsid w:val="0022203E"/>
    <w:rsid w:val="00235E3B"/>
    <w:rsid w:val="00265B5C"/>
    <w:rsid w:val="0028497D"/>
    <w:rsid w:val="002F65B3"/>
    <w:rsid w:val="00305DF5"/>
    <w:rsid w:val="00321E73"/>
    <w:rsid w:val="003A1249"/>
    <w:rsid w:val="003B746D"/>
    <w:rsid w:val="00402C91"/>
    <w:rsid w:val="00476504"/>
    <w:rsid w:val="00477E96"/>
    <w:rsid w:val="0048060C"/>
    <w:rsid w:val="004B4E5E"/>
    <w:rsid w:val="004E7F58"/>
    <w:rsid w:val="00514EF2"/>
    <w:rsid w:val="00546896"/>
    <w:rsid w:val="0056411C"/>
    <w:rsid w:val="005E7D38"/>
    <w:rsid w:val="005F6AE2"/>
    <w:rsid w:val="00631437"/>
    <w:rsid w:val="00652F8F"/>
    <w:rsid w:val="006715A3"/>
    <w:rsid w:val="006C65D8"/>
    <w:rsid w:val="006D0B2D"/>
    <w:rsid w:val="007247FD"/>
    <w:rsid w:val="007537C9"/>
    <w:rsid w:val="007B62CB"/>
    <w:rsid w:val="007C34AC"/>
    <w:rsid w:val="007C4346"/>
    <w:rsid w:val="007D4033"/>
    <w:rsid w:val="007F2D7E"/>
    <w:rsid w:val="00886DC0"/>
    <w:rsid w:val="00887D33"/>
    <w:rsid w:val="008B4055"/>
    <w:rsid w:val="008E1FC0"/>
    <w:rsid w:val="00904B75"/>
    <w:rsid w:val="00945C78"/>
    <w:rsid w:val="009D3DF6"/>
    <w:rsid w:val="009E4D51"/>
    <w:rsid w:val="00A10233"/>
    <w:rsid w:val="00A10B39"/>
    <w:rsid w:val="00A86C26"/>
    <w:rsid w:val="00A91D6B"/>
    <w:rsid w:val="00A9341A"/>
    <w:rsid w:val="00BC0F72"/>
    <w:rsid w:val="00C16137"/>
    <w:rsid w:val="00C20DE6"/>
    <w:rsid w:val="00C34787"/>
    <w:rsid w:val="00C41C02"/>
    <w:rsid w:val="00C65535"/>
    <w:rsid w:val="00C67246"/>
    <w:rsid w:val="00C86323"/>
    <w:rsid w:val="00C92071"/>
    <w:rsid w:val="00C960FE"/>
    <w:rsid w:val="00CC4A1B"/>
    <w:rsid w:val="00D441A9"/>
    <w:rsid w:val="00DC42CF"/>
    <w:rsid w:val="00DE354E"/>
    <w:rsid w:val="00DF336E"/>
    <w:rsid w:val="00E31B51"/>
    <w:rsid w:val="00E369F6"/>
    <w:rsid w:val="00E603C3"/>
    <w:rsid w:val="00EF7320"/>
    <w:rsid w:val="00F23585"/>
    <w:rsid w:val="00F33BC4"/>
    <w:rsid w:val="00F7356A"/>
    <w:rsid w:val="00FA6323"/>
    <w:rsid w:val="00FC0206"/>
    <w:rsid w:val="00FE6286"/>
    <w:rsid w:val="00FE6E28"/>
    <w:rsid w:val="00FF6B1A"/>
    <w:rsid w:val="00FF7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458"/>
  <w15:chartTrackingRefBased/>
  <w15:docId w15:val="{6D41894E-7D4B-4DE3-AA38-7E71D1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71"/>
    <w:pPr>
      <w:ind w:left="720"/>
      <w:contextualSpacing/>
    </w:pPr>
  </w:style>
  <w:style w:type="paragraph" w:customStyle="1" w:styleId="Default">
    <w:name w:val="Default"/>
    <w:rsid w:val="00477E9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ipercze">
    <w:name w:val="Hyperlink"/>
    <w:basedOn w:val="Domylnaczcionkaakapitu"/>
    <w:rsid w:val="003B746D"/>
    <w:rPr>
      <w:color w:val="0000FF"/>
      <w:u w:val="single"/>
    </w:rPr>
  </w:style>
  <w:style w:type="paragraph" w:styleId="Tekstdymka">
    <w:name w:val="Balloon Text"/>
    <w:basedOn w:val="Normalny"/>
    <w:link w:val="TekstdymkaZnak"/>
    <w:uiPriority w:val="99"/>
    <w:semiHidden/>
    <w:unhideWhenUsed/>
    <w:rsid w:val="003A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49"/>
    <w:rPr>
      <w:rFonts w:ascii="Segoe UI" w:hAnsi="Segoe UI" w:cs="Segoe UI"/>
      <w:sz w:val="18"/>
      <w:szCs w:val="18"/>
    </w:rPr>
  </w:style>
  <w:style w:type="paragraph" w:styleId="Nagwek">
    <w:name w:val="header"/>
    <w:basedOn w:val="Normalny"/>
    <w:link w:val="NagwekZnak"/>
    <w:uiPriority w:val="99"/>
    <w:unhideWhenUsed/>
    <w:rsid w:val="00CC4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1B"/>
  </w:style>
  <w:style w:type="paragraph" w:styleId="Stopka">
    <w:name w:val="footer"/>
    <w:basedOn w:val="Normalny"/>
    <w:link w:val="StopkaZnak"/>
    <w:uiPriority w:val="99"/>
    <w:unhideWhenUsed/>
    <w:rsid w:val="00CC4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1B"/>
  </w:style>
  <w:style w:type="paragraph" w:styleId="NormalnyWeb">
    <w:name w:val="Normal (Web)"/>
    <w:basedOn w:val="Normalny"/>
    <w:uiPriority w:val="99"/>
    <w:semiHidden/>
    <w:unhideWhenUsed/>
    <w:rsid w:val="0028497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2CF"/>
    <w:rPr>
      <w:sz w:val="16"/>
      <w:szCs w:val="16"/>
    </w:rPr>
  </w:style>
  <w:style w:type="paragraph" w:styleId="Tekstkomentarza">
    <w:name w:val="annotation text"/>
    <w:basedOn w:val="Normalny"/>
    <w:link w:val="TekstkomentarzaZnak"/>
    <w:uiPriority w:val="99"/>
    <w:semiHidden/>
    <w:unhideWhenUsed/>
    <w:rsid w:val="00DC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2CF"/>
    <w:rPr>
      <w:sz w:val="20"/>
      <w:szCs w:val="20"/>
    </w:rPr>
  </w:style>
  <w:style w:type="paragraph" w:styleId="Tematkomentarza">
    <w:name w:val="annotation subject"/>
    <w:basedOn w:val="Tekstkomentarza"/>
    <w:next w:val="Tekstkomentarza"/>
    <w:link w:val="TematkomentarzaZnak"/>
    <w:uiPriority w:val="99"/>
    <w:semiHidden/>
    <w:unhideWhenUsed/>
    <w:rsid w:val="00DC42CF"/>
    <w:rPr>
      <w:b/>
      <w:bCs/>
    </w:rPr>
  </w:style>
  <w:style w:type="character" w:customStyle="1" w:styleId="TematkomentarzaZnak">
    <w:name w:val="Temat komentarza Znak"/>
    <w:basedOn w:val="TekstkomentarzaZnak"/>
    <w:link w:val="Tematkomentarza"/>
    <w:uiPriority w:val="99"/>
    <w:semiHidden/>
    <w:rsid w:val="00DC42CF"/>
    <w:rPr>
      <w:b/>
      <w:bCs/>
      <w:sz w:val="20"/>
      <w:szCs w:val="20"/>
    </w:rPr>
  </w:style>
  <w:style w:type="character" w:customStyle="1" w:styleId="Nierozpoznanawzmianka1">
    <w:name w:val="Nierozpoznana wzmianka1"/>
    <w:basedOn w:val="Domylnaczcionkaakapitu"/>
    <w:uiPriority w:val="99"/>
    <w:semiHidden/>
    <w:unhideWhenUsed/>
    <w:rsid w:val="00A91D6B"/>
    <w:rPr>
      <w:color w:val="605E5C"/>
      <w:shd w:val="clear" w:color="auto" w:fill="E1DFDD"/>
    </w:rPr>
  </w:style>
  <w:style w:type="table" w:styleId="Tabela-Siatka">
    <w:name w:val="Table Grid"/>
    <w:basedOn w:val="Standardowy"/>
    <w:uiPriority w:val="39"/>
    <w:rsid w:val="0067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62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2CB"/>
    <w:rPr>
      <w:sz w:val="20"/>
      <w:szCs w:val="20"/>
    </w:rPr>
  </w:style>
  <w:style w:type="character" w:styleId="Odwoanieprzypisukocowego">
    <w:name w:val="endnote reference"/>
    <w:basedOn w:val="Domylnaczcionkaakapitu"/>
    <w:uiPriority w:val="99"/>
    <w:semiHidden/>
    <w:unhideWhenUsed/>
    <w:rsid w:val="007B62CB"/>
    <w:rPr>
      <w:vertAlign w:val="superscript"/>
    </w:rPr>
  </w:style>
  <w:style w:type="character" w:styleId="Nierozpoznanawzmianka">
    <w:name w:val="Unresolved Mention"/>
    <w:basedOn w:val="Domylnaczcionkaakapitu"/>
    <w:uiPriority w:val="99"/>
    <w:semiHidden/>
    <w:unhideWhenUsed/>
    <w:rsid w:val="007C3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677">
      <w:bodyDiv w:val="1"/>
      <w:marLeft w:val="0"/>
      <w:marRight w:val="0"/>
      <w:marTop w:val="0"/>
      <w:marBottom w:val="0"/>
      <w:divBdr>
        <w:top w:val="none" w:sz="0" w:space="0" w:color="auto"/>
        <w:left w:val="none" w:sz="0" w:space="0" w:color="auto"/>
        <w:bottom w:val="none" w:sz="0" w:space="0" w:color="auto"/>
        <w:right w:val="none" w:sz="0" w:space="0" w:color="auto"/>
      </w:divBdr>
    </w:div>
    <w:div w:id="131020667">
      <w:bodyDiv w:val="1"/>
      <w:marLeft w:val="0"/>
      <w:marRight w:val="0"/>
      <w:marTop w:val="0"/>
      <w:marBottom w:val="0"/>
      <w:divBdr>
        <w:top w:val="none" w:sz="0" w:space="0" w:color="auto"/>
        <w:left w:val="none" w:sz="0" w:space="0" w:color="auto"/>
        <w:bottom w:val="none" w:sz="0" w:space="0" w:color="auto"/>
        <w:right w:val="none" w:sz="0" w:space="0" w:color="auto"/>
      </w:divBdr>
    </w:div>
    <w:div w:id="1027173722">
      <w:bodyDiv w:val="1"/>
      <w:marLeft w:val="0"/>
      <w:marRight w:val="0"/>
      <w:marTop w:val="0"/>
      <w:marBottom w:val="0"/>
      <w:divBdr>
        <w:top w:val="none" w:sz="0" w:space="0" w:color="auto"/>
        <w:left w:val="none" w:sz="0" w:space="0" w:color="auto"/>
        <w:bottom w:val="none" w:sz="0" w:space="0" w:color="auto"/>
        <w:right w:val="none" w:sz="0" w:space="0" w:color="auto"/>
      </w:divBdr>
      <w:divsChild>
        <w:div w:id="586420931">
          <w:marLeft w:val="0"/>
          <w:marRight w:val="0"/>
          <w:marTop w:val="0"/>
          <w:marBottom w:val="0"/>
          <w:divBdr>
            <w:top w:val="single" w:sz="6" w:space="0" w:color="B0C4DE"/>
            <w:left w:val="none" w:sz="0" w:space="0" w:color="auto"/>
            <w:bottom w:val="none" w:sz="0" w:space="0" w:color="auto"/>
            <w:right w:val="none" w:sz="0" w:space="0" w:color="auto"/>
          </w:divBdr>
          <w:divsChild>
            <w:div w:id="1890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3248">
      <w:bodyDiv w:val="1"/>
      <w:marLeft w:val="0"/>
      <w:marRight w:val="0"/>
      <w:marTop w:val="0"/>
      <w:marBottom w:val="0"/>
      <w:divBdr>
        <w:top w:val="none" w:sz="0" w:space="0" w:color="auto"/>
        <w:left w:val="none" w:sz="0" w:space="0" w:color="auto"/>
        <w:bottom w:val="none" w:sz="0" w:space="0" w:color="auto"/>
        <w:right w:val="none" w:sz="0" w:space="0" w:color="auto"/>
      </w:divBdr>
    </w:div>
    <w:div w:id="1722052907">
      <w:bodyDiv w:val="1"/>
      <w:marLeft w:val="0"/>
      <w:marRight w:val="0"/>
      <w:marTop w:val="0"/>
      <w:marBottom w:val="0"/>
      <w:divBdr>
        <w:top w:val="none" w:sz="0" w:space="0" w:color="auto"/>
        <w:left w:val="none" w:sz="0" w:space="0" w:color="auto"/>
        <w:bottom w:val="none" w:sz="0" w:space="0" w:color="auto"/>
        <w:right w:val="none" w:sz="0" w:space="0" w:color="auto"/>
      </w:divBdr>
    </w:div>
    <w:div w:id="1987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szko@tomas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paszko@tomasconsultin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2F18-7601-492C-BAA9-D018A535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3895</Words>
  <Characters>23374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Wieclawska</dc:creator>
  <cp:keywords/>
  <dc:description/>
  <cp:lastModifiedBy>Krzysztof Paszko</cp:lastModifiedBy>
  <cp:revision>3</cp:revision>
  <cp:lastPrinted>2018-02-01T12:59:00Z</cp:lastPrinted>
  <dcterms:created xsi:type="dcterms:W3CDTF">2019-07-05T09:18:00Z</dcterms:created>
  <dcterms:modified xsi:type="dcterms:W3CDTF">2019-07-05T09:22:00Z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